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586807">
      <w:pPr>
        <w:jc w:val="center"/>
        <w:rPr>
          <w:rFonts w:asciiTheme="majorEastAsia" w:hAnsiTheme="majorEastAsia" w:eastAsiaTheme="majorEastAsia"/>
          <w:b/>
        </w:rPr>
      </w:pPr>
      <w:r>
        <w:rPr>
          <w:rFonts w:hint="eastAsia" w:asciiTheme="majorEastAsia" w:hAnsiTheme="majorEastAsia" w:eastAsiaTheme="majorEastAsia"/>
          <w:b/>
          <w:sz w:val="44"/>
          <w:szCs w:val="44"/>
        </w:rPr>
        <w:t>中山大学附属第八医院（深圳福田）货物类</w:t>
      </w:r>
    </w:p>
    <w:p w14:paraId="2BCEF68D">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采购需求书</w:t>
      </w:r>
    </w:p>
    <w:p w14:paraId="7651502F">
      <w:pPr>
        <w:ind w:firstLine="240" w:firstLineChars="100"/>
        <w:rPr>
          <w:rFonts w:cs="方正小标宋简体" w:asciiTheme="majorEastAsia" w:hAnsiTheme="majorEastAsia" w:eastAsiaTheme="majorEastAsia"/>
          <w:sz w:val="36"/>
          <w:szCs w:val="36"/>
        </w:rPr>
      </w:pPr>
      <w:r>
        <w:rPr>
          <w:rFonts w:hint="eastAsia" w:cs="宋体" w:asciiTheme="majorEastAsia" w:hAnsiTheme="majorEastAsia" w:eastAsiaTheme="majorEastAsia"/>
          <w:sz w:val="24"/>
        </w:rPr>
        <w:t>说明：“★”号条款为实质性条款，必须完全满足，不满足则不予采购</w:t>
      </w:r>
    </w:p>
    <w:p w14:paraId="6C5C76B3">
      <w:pPr>
        <w:ind w:firstLine="361" w:firstLineChars="100"/>
        <w:jc w:val="center"/>
        <w:rPr>
          <w:rFonts w:cs="方正小标宋简体" w:asciiTheme="majorEastAsia" w:hAnsiTheme="majorEastAsia" w:eastAsiaTheme="majorEastAsia"/>
          <w:b/>
          <w:sz w:val="36"/>
          <w:szCs w:val="36"/>
        </w:rPr>
      </w:pPr>
      <w:r>
        <w:rPr>
          <w:rFonts w:hint="eastAsia" w:cs="方正小标宋简体" w:asciiTheme="majorEastAsia" w:hAnsiTheme="majorEastAsia" w:eastAsiaTheme="majorEastAsia"/>
          <w:b/>
          <w:sz w:val="36"/>
          <w:szCs w:val="36"/>
        </w:rPr>
        <w:t>第一部分 项目基本要求</w:t>
      </w:r>
    </w:p>
    <w:p w14:paraId="7018B446">
      <w:pPr>
        <w:rPr>
          <w:rFonts w:cs="方正小标宋简体" w:asciiTheme="majorEastAsia" w:hAnsiTheme="majorEastAsia" w:eastAsiaTheme="majorEastAsia"/>
          <w:sz w:val="32"/>
          <w:szCs w:val="32"/>
        </w:rPr>
      </w:pPr>
      <w:r>
        <w:rPr>
          <w:rFonts w:hint="eastAsia" w:cs="方正小标宋简体" w:asciiTheme="majorEastAsia" w:hAnsiTheme="majorEastAsia" w:eastAsiaTheme="majorEastAsia"/>
          <w:sz w:val="32"/>
          <w:szCs w:val="32"/>
        </w:rPr>
        <w:t xml:space="preserve"> 一、项目基本信息</w:t>
      </w:r>
    </w:p>
    <w:p w14:paraId="6F483D30">
      <w:pPr>
        <w:ind w:firstLine="482" w:firstLineChars="200"/>
        <w:rPr>
          <w:rFonts w:cs="方正小标宋简体" w:asciiTheme="majorEastAsia" w:hAnsiTheme="majorEastAsia" w:eastAsiaTheme="majorEastAsia"/>
          <w:sz w:val="24"/>
          <w:shd w:val="clear" w:color="auto" w:fill="FFFFFF"/>
        </w:rPr>
      </w:pPr>
      <w:r>
        <w:rPr>
          <w:rFonts w:hint="eastAsia" w:asciiTheme="majorEastAsia" w:hAnsiTheme="majorEastAsia" w:eastAsiaTheme="majorEastAsia"/>
          <w:b/>
          <w:color w:val="000000"/>
          <w:sz w:val="24"/>
          <w:szCs w:val="21"/>
        </w:rPr>
        <w:t>申请科室：检验科</w:t>
      </w:r>
    </w:p>
    <w:tbl>
      <w:tblPr>
        <w:tblStyle w:val="9"/>
        <w:tblW w:w="10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222"/>
        <w:gridCol w:w="1417"/>
        <w:gridCol w:w="206"/>
        <w:gridCol w:w="850"/>
        <w:gridCol w:w="503"/>
        <w:gridCol w:w="64"/>
        <w:gridCol w:w="567"/>
        <w:gridCol w:w="503"/>
        <w:gridCol w:w="348"/>
        <w:gridCol w:w="567"/>
        <w:gridCol w:w="567"/>
        <w:gridCol w:w="1417"/>
        <w:gridCol w:w="993"/>
        <w:gridCol w:w="1062"/>
      </w:tblGrid>
      <w:tr w14:paraId="05A0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70" w:type="dxa"/>
            <w:gridSpan w:val="3"/>
          </w:tcPr>
          <w:p w14:paraId="6889A02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申请设备名称</w:t>
            </w:r>
          </w:p>
        </w:tc>
        <w:tc>
          <w:tcPr>
            <w:tcW w:w="1559" w:type="dxa"/>
            <w:gridSpan w:val="3"/>
          </w:tcPr>
          <w:p w14:paraId="76805198">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1134" w:type="dxa"/>
            <w:gridSpan w:val="3"/>
          </w:tcPr>
          <w:p w14:paraId="00F8A22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915" w:type="dxa"/>
            <w:gridSpan w:val="2"/>
          </w:tcPr>
          <w:p w14:paraId="2990F8CC">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984" w:type="dxa"/>
            <w:gridSpan w:val="2"/>
          </w:tcPr>
          <w:p w14:paraId="05980E1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2055" w:type="dxa"/>
            <w:gridSpan w:val="2"/>
          </w:tcPr>
          <w:p w14:paraId="3B68062E">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r>
      <w:tr w14:paraId="1087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70" w:type="dxa"/>
            <w:gridSpan w:val="3"/>
            <w:shd w:val="clear" w:color="auto" w:fill="FFFFFF" w:themeFill="background1"/>
            <w:vAlign w:val="center"/>
          </w:tcPr>
          <w:p w14:paraId="32DD1190">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全自动血液分析系统</w:t>
            </w:r>
          </w:p>
        </w:tc>
        <w:tc>
          <w:tcPr>
            <w:tcW w:w="1559" w:type="dxa"/>
            <w:gridSpan w:val="3"/>
            <w:shd w:val="clear" w:color="auto" w:fill="FFFFFF" w:themeFill="background1"/>
            <w:vAlign w:val="center"/>
          </w:tcPr>
          <w:p w14:paraId="33F96B83">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1134" w:type="dxa"/>
            <w:gridSpan w:val="3"/>
            <w:shd w:val="clear" w:color="auto" w:fill="FFFFFF" w:themeFill="background1"/>
            <w:vAlign w:val="center"/>
          </w:tcPr>
          <w:p w14:paraId="30109BB5">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915" w:type="dxa"/>
            <w:gridSpan w:val="2"/>
            <w:shd w:val="clear" w:color="auto" w:fill="FFFFFF" w:themeFill="background1"/>
            <w:vAlign w:val="center"/>
          </w:tcPr>
          <w:p w14:paraId="42BAE852">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套</w:t>
            </w:r>
          </w:p>
        </w:tc>
        <w:tc>
          <w:tcPr>
            <w:tcW w:w="1984" w:type="dxa"/>
            <w:gridSpan w:val="2"/>
            <w:shd w:val="clear" w:color="auto" w:fill="FFFFFF" w:themeFill="background1"/>
          </w:tcPr>
          <w:p w14:paraId="741DDFF3">
            <w:pPr>
              <w:jc w:val="center"/>
              <w:rPr>
                <w:rFonts w:asciiTheme="majorEastAsia" w:hAnsiTheme="majorEastAsia" w:eastAsiaTheme="majorEastAsia"/>
                <w:sz w:val="24"/>
                <w:szCs w:val="21"/>
              </w:rPr>
            </w:pPr>
            <w:r>
              <w:rPr>
                <w:rFonts w:asciiTheme="majorEastAsia" w:hAnsiTheme="majorEastAsia" w:eastAsiaTheme="majorEastAsia"/>
                <w:sz w:val="24"/>
                <w:szCs w:val="21"/>
              </w:rPr>
              <w:t>0.15</w:t>
            </w:r>
          </w:p>
        </w:tc>
        <w:tc>
          <w:tcPr>
            <w:tcW w:w="2055" w:type="dxa"/>
            <w:gridSpan w:val="2"/>
            <w:shd w:val="clear" w:color="auto" w:fill="FFFFFF" w:themeFill="background1"/>
            <w:vAlign w:val="center"/>
          </w:tcPr>
          <w:p w14:paraId="5890C6E8">
            <w:pPr>
              <w:jc w:val="center"/>
              <w:rPr>
                <w:rFonts w:asciiTheme="majorEastAsia" w:hAnsiTheme="majorEastAsia" w:eastAsiaTheme="majorEastAsia"/>
                <w:sz w:val="24"/>
                <w:szCs w:val="21"/>
              </w:rPr>
            </w:pPr>
            <w:r>
              <w:rPr>
                <w:rFonts w:asciiTheme="majorEastAsia" w:hAnsiTheme="majorEastAsia" w:eastAsiaTheme="majorEastAsia"/>
                <w:sz w:val="24"/>
                <w:szCs w:val="21"/>
              </w:rPr>
              <w:t>0.15</w:t>
            </w:r>
          </w:p>
        </w:tc>
      </w:tr>
      <w:tr w14:paraId="6C09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3" w:type="dxa"/>
            <w:gridSpan w:val="2"/>
            <w:shd w:val="clear" w:color="auto" w:fill="FFFFFF" w:themeFill="background1"/>
            <w:vAlign w:val="center"/>
          </w:tcPr>
          <w:p w14:paraId="07E66038">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项目背景</w:t>
            </w:r>
          </w:p>
        </w:tc>
        <w:tc>
          <w:tcPr>
            <w:tcW w:w="9064" w:type="dxa"/>
            <w:gridSpan w:val="13"/>
            <w:shd w:val="clear" w:color="auto" w:fill="FFFFFF" w:themeFill="background1"/>
          </w:tcPr>
          <w:p w14:paraId="3410FF68">
            <w:pPr>
              <w:rPr>
                <w:rFonts w:asciiTheme="majorEastAsia" w:hAnsiTheme="majorEastAsia" w:eastAsiaTheme="majorEastAsia"/>
                <w:sz w:val="24"/>
                <w:szCs w:val="21"/>
              </w:rPr>
            </w:pPr>
            <w:r>
              <w:rPr>
                <w:rFonts w:hint="eastAsia" w:asciiTheme="majorEastAsia" w:hAnsiTheme="majorEastAsia" w:eastAsiaTheme="majorEastAsia"/>
                <w:sz w:val="24"/>
                <w:szCs w:val="21"/>
              </w:rPr>
              <w:t>血液分析在疾病筛查、诊断、检测中占据重要地位，大多数临床指南，如感染性疾病、血液病、肿瘤、围手术管理、急诊分诊等都将血常规作为必查或推荐的项目。目前检验科在使用的血液分析设备已稳定运行近5年，在血常规检测上发挥这重要的作用。随着医学技术的飞速发展和临床需求的不断提升，该类设备的检测性能、技术先进性的整个行业水准已经有很大提升，为持续提升我科的检验服务能力和质量，确保检验结果精准、高效、可靠，满足现代精准医疗和高效实验室管理、科研创新的要求，亟需对现有血液分析设备进行升级换代，引入新一代的血液分析技术平台。</w:t>
            </w:r>
          </w:p>
        </w:tc>
      </w:tr>
      <w:tr w14:paraId="35731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7" w:type="dxa"/>
            <w:gridSpan w:val="15"/>
          </w:tcPr>
          <w:p w14:paraId="1D76AFC1">
            <w:pPr>
              <w:rPr>
                <w:rFonts w:cs="宋体" w:asciiTheme="majorEastAsia" w:hAnsiTheme="majorEastAsia" w:eastAsiaTheme="majorEastAsia"/>
                <w:b/>
                <w:bCs/>
                <w:sz w:val="24"/>
              </w:rPr>
            </w:pPr>
            <w:r>
              <w:rPr>
                <w:rFonts w:hint="eastAsia" w:cs="宋体" w:asciiTheme="majorEastAsia" w:hAnsiTheme="majorEastAsia" w:eastAsiaTheme="majorEastAsia"/>
                <w:b/>
                <w:sz w:val="24"/>
              </w:rPr>
              <w:t>★</w:t>
            </w:r>
            <w:r>
              <w:rPr>
                <w:rFonts w:hint="eastAsia" w:cs="宋体" w:asciiTheme="majorEastAsia" w:hAnsiTheme="majorEastAsia" w:eastAsiaTheme="majorEastAsia"/>
                <w:b/>
                <w:bCs/>
                <w:sz w:val="24"/>
              </w:rPr>
              <w:t>设备配置总清单（包括主机和各种配件或附件、试剂耗材及软件等，写明规格和数量）</w:t>
            </w:r>
          </w:p>
        </w:tc>
      </w:tr>
      <w:tr w14:paraId="080E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322F2CD2">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845" w:type="dxa"/>
            <w:gridSpan w:val="3"/>
            <w:vAlign w:val="center"/>
          </w:tcPr>
          <w:p w14:paraId="204220C5">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14:paraId="488C390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567" w:type="dxa"/>
            <w:gridSpan w:val="2"/>
            <w:vAlign w:val="center"/>
          </w:tcPr>
          <w:p w14:paraId="2289A03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567" w:type="dxa"/>
            <w:vAlign w:val="center"/>
          </w:tcPr>
          <w:p w14:paraId="746DF8DC">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851" w:type="dxa"/>
            <w:gridSpan w:val="2"/>
            <w:vAlign w:val="center"/>
          </w:tcPr>
          <w:p w14:paraId="2783D33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134" w:type="dxa"/>
            <w:gridSpan w:val="2"/>
            <w:vAlign w:val="center"/>
          </w:tcPr>
          <w:p w14:paraId="21459B1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417" w:type="dxa"/>
            <w:vAlign w:val="center"/>
          </w:tcPr>
          <w:p w14:paraId="705B4EE5">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993" w:type="dxa"/>
            <w:vAlign w:val="center"/>
          </w:tcPr>
          <w:p w14:paraId="3D84A98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是否属于消耗品</w:t>
            </w:r>
          </w:p>
        </w:tc>
        <w:tc>
          <w:tcPr>
            <w:tcW w:w="1062" w:type="dxa"/>
            <w:vAlign w:val="center"/>
          </w:tcPr>
          <w:p w14:paraId="04D8D80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是否需要单独报价</w:t>
            </w:r>
          </w:p>
        </w:tc>
      </w:tr>
      <w:tr w14:paraId="03B7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616BFC75">
            <w:pPr>
              <w:jc w:val="center"/>
              <w:rPr>
                <w:rFonts w:hint="eastAsia" w:asciiTheme="majorEastAsia" w:hAnsiTheme="majorEastAsia" w:eastAsiaTheme="majorEastAsia"/>
                <w:b/>
                <w:sz w:val="24"/>
                <w:szCs w:val="21"/>
                <w:lang w:val="en-US" w:eastAsia="zh-CN"/>
              </w:rPr>
            </w:pPr>
            <w:r>
              <w:rPr>
                <w:rFonts w:hint="eastAsia" w:asciiTheme="majorEastAsia" w:hAnsiTheme="majorEastAsia" w:eastAsiaTheme="majorEastAsia"/>
                <w:b/>
                <w:sz w:val="24"/>
                <w:szCs w:val="21"/>
                <w:lang w:val="en-US" w:eastAsia="zh-CN"/>
              </w:rPr>
              <w:t>1</w:t>
            </w:r>
          </w:p>
        </w:tc>
        <w:tc>
          <w:tcPr>
            <w:tcW w:w="2845" w:type="dxa"/>
            <w:gridSpan w:val="3"/>
            <w:shd w:val="clear" w:color="auto" w:fill="FFFFFF" w:themeFill="background1"/>
            <w:vAlign w:val="center"/>
          </w:tcPr>
          <w:p w14:paraId="14FF5D20">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全自动血液分析系统</w:t>
            </w:r>
          </w:p>
        </w:tc>
        <w:tc>
          <w:tcPr>
            <w:tcW w:w="850" w:type="dxa"/>
            <w:shd w:val="clear" w:color="auto" w:fill="FFFFFF" w:themeFill="background1"/>
            <w:vAlign w:val="center"/>
          </w:tcPr>
          <w:p w14:paraId="11C00349">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567" w:type="dxa"/>
            <w:gridSpan w:val="2"/>
            <w:shd w:val="clear" w:color="auto" w:fill="FFFFFF" w:themeFill="background1"/>
            <w:vAlign w:val="center"/>
          </w:tcPr>
          <w:p w14:paraId="369B2B80">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567" w:type="dxa"/>
            <w:shd w:val="clear" w:color="auto" w:fill="FFFFFF" w:themeFill="background1"/>
            <w:vAlign w:val="center"/>
          </w:tcPr>
          <w:p w14:paraId="29B9F30E">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套</w:t>
            </w:r>
          </w:p>
        </w:tc>
        <w:tc>
          <w:tcPr>
            <w:tcW w:w="851" w:type="dxa"/>
            <w:gridSpan w:val="2"/>
            <w:shd w:val="clear" w:color="auto" w:fill="FFFFFF" w:themeFill="background1"/>
            <w:vAlign w:val="center"/>
          </w:tcPr>
          <w:p w14:paraId="56FCC612">
            <w:pPr>
              <w:jc w:val="center"/>
              <w:rPr>
                <w:rFonts w:asciiTheme="majorEastAsia" w:hAnsiTheme="majorEastAsia" w:eastAsiaTheme="majorEastAsia"/>
                <w:sz w:val="24"/>
                <w:szCs w:val="21"/>
              </w:rPr>
            </w:pPr>
            <w:r>
              <w:rPr>
                <w:rFonts w:asciiTheme="majorEastAsia" w:hAnsiTheme="majorEastAsia" w:eastAsiaTheme="majorEastAsia"/>
                <w:sz w:val="24"/>
                <w:szCs w:val="21"/>
              </w:rPr>
              <w:t>0.15</w:t>
            </w:r>
          </w:p>
        </w:tc>
        <w:tc>
          <w:tcPr>
            <w:tcW w:w="1134" w:type="dxa"/>
            <w:gridSpan w:val="2"/>
            <w:shd w:val="clear" w:color="auto" w:fill="FFFFFF" w:themeFill="background1"/>
            <w:vAlign w:val="center"/>
          </w:tcPr>
          <w:p w14:paraId="25760A97">
            <w:pPr>
              <w:jc w:val="center"/>
              <w:rPr>
                <w:rFonts w:asciiTheme="majorEastAsia" w:hAnsiTheme="majorEastAsia" w:eastAsiaTheme="majorEastAsia"/>
                <w:sz w:val="24"/>
                <w:szCs w:val="21"/>
              </w:rPr>
            </w:pPr>
            <w:r>
              <w:rPr>
                <w:rFonts w:asciiTheme="majorEastAsia" w:hAnsiTheme="majorEastAsia" w:eastAsiaTheme="majorEastAsia"/>
                <w:sz w:val="24"/>
                <w:szCs w:val="21"/>
              </w:rPr>
              <w:t>0.15</w:t>
            </w:r>
          </w:p>
        </w:tc>
        <w:tc>
          <w:tcPr>
            <w:tcW w:w="1417" w:type="dxa"/>
            <w:shd w:val="clear" w:color="auto" w:fill="FFFFFF" w:themeFill="background1"/>
            <w:vAlign w:val="center"/>
          </w:tcPr>
          <w:p w14:paraId="7C1B6BA2">
            <w:pPr>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w:t>
            </w:r>
          </w:p>
        </w:tc>
        <w:tc>
          <w:tcPr>
            <w:tcW w:w="993" w:type="dxa"/>
            <w:shd w:val="clear" w:color="auto" w:fill="FFFFFF" w:themeFill="background1"/>
            <w:vAlign w:val="center"/>
          </w:tcPr>
          <w:p w14:paraId="75072939">
            <w:pPr>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w:t>
            </w:r>
          </w:p>
        </w:tc>
        <w:tc>
          <w:tcPr>
            <w:tcW w:w="1062" w:type="dxa"/>
            <w:shd w:val="clear" w:color="auto" w:fill="FFFFFF" w:themeFill="background1"/>
            <w:vAlign w:val="center"/>
          </w:tcPr>
          <w:p w14:paraId="3DA05640">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lang w:val="en-US" w:eastAsia="zh-CN"/>
              </w:rPr>
              <w:t>/</w:t>
            </w:r>
          </w:p>
        </w:tc>
      </w:tr>
      <w:tr w14:paraId="05752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5A226025">
            <w:pPr>
              <w:jc w:val="center"/>
              <w:rPr>
                <w:rFonts w:hint="default" w:asciiTheme="majorEastAsia" w:hAnsiTheme="majorEastAsia" w:eastAsiaTheme="majorEastAsia"/>
                <w:b/>
                <w:sz w:val="24"/>
                <w:szCs w:val="21"/>
                <w:lang w:val="en-US" w:eastAsia="zh-CN"/>
              </w:rPr>
            </w:pPr>
            <w:r>
              <w:rPr>
                <w:rFonts w:hint="eastAsia" w:asciiTheme="majorEastAsia" w:hAnsiTheme="majorEastAsia" w:eastAsiaTheme="majorEastAsia"/>
                <w:b/>
                <w:sz w:val="24"/>
                <w:szCs w:val="21"/>
              </w:rPr>
              <w:t>1</w:t>
            </w:r>
            <w:r>
              <w:rPr>
                <w:rFonts w:hint="eastAsia" w:asciiTheme="majorEastAsia" w:hAnsiTheme="majorEastAsia" w:eastAsiaTheme="majorEastAsia"/>
                <w:b/>
                <w:sz w:val="24"/>
                <w:szCs w:val="21"/>
                <w:lang w:val="en-US" w:eastAsia="zh-CN"/>
              </w:rPr>
              <w:t>.1</w:t>
            </w:r>
          </w:p>
        </w:tc>
        <w:tc>
          <w:tcPr>
            <w:tcW w:w="2845" w:type="dxa"/>
            <w:gridSpan w:val="3"/>
            <w:shd w:val="clear" w:color="auto" w:fill="FFFFFF" w:themeFill="background1"/>
            <w:vAlign w:val="center"/>
          </w:tcPr>
          <w:p w14:paraId="5302AF6A">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样本处理系统</w:t>
            </w:r>
          </w:p>
        </w:tc>
        <w:tc>
          <w:tcPr>
            <w:tcW w:w="850" w:type="dxa"/>
            <w:shd w:val="clear" w:color="auto" w:fill="FFFFFF" w:themeFill="background1"/>
            <w:vAlign w:val="center"/>
          </w:tcPr>
          <w:p w14:paraId="399E0E8E">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567" w:type="dxa"/>
            <w:gridSpan w:val="2"/>
            <w:shd w:val="clear" w:color="auto" w:fill="FFFFFF" w:themeFill="background1"/>
            <w:vAlign w:val="center"/>
          </w:tcPr>
          <w:p w14:paraId="5A2C562E">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567" w:type="dxa"/>
            <w:shd w:val="clear" w:color="auto" w:fill="FFFFFF" w:themeFill="background1"/>
            <w:vAlign w:val="center"/>
          </w:tcPr>
          <w:p w14:paraId="6479B166">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851" w:type="dxa"/>
            <w:gridSpan w:val="2"/>
            <w:vMerge w:val="restart"/>
            <w:shd w:val="clear" w:color="auto" w:fill="FFFFFF" w:themeFill="background1"/>
            <w:vAlign w:val="center"/>
          </w:tcPr>
          <w:p w14:paraId="54115135">
            <w:pPr>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w:t>
            </w:r>
          </w:p>
        </w:tc>
        <w:tc>
          <w:tcPr>
            <w:tcW w:w="1134" w:type="dxa"/>
            <w:gridSpan w:val="2"/>
            <w:vMerge w:val="restart"/>
            <w:shd w:val="clear" w:color="auto" w:fill="FFFFFF" w:themeFill="background1"/>
            <w:vAlign w:val="center"/>
          </w:tcPr>
          <w:p w14:paraId="5EDE7995">
            <w:pPr>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w:t>
            </w:r>
          </w:p>
        </w:tc>
        <w:tc>
          <w:tcPr>
            <w:tcW w:w="1417" w:type="dxa"/>
            <w:shd w:val="clear" w:color="auto" w:fill="FFFFFF" w:themeFill="background1"/>
            <w:vAlign w:val="center"/>
          </w:tcPr>
          <w:p w14:paraId="107D1337">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是</w:t>
            </w:r>
          </w:p>
        </w:tc>
        <w:tc>
          <w:tcPr>
            <w:tcW w:w="993" w:type="dxa"/>
            <w:shd w:val="clear" w:color="auto" w:fill="FFFFFF" w:themeFill="background1"/>
            <w:vAlign w:val="center"/>
          </w:tcPr>
          <w:p w14:paraId="13BA57BC">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1062" w:type="dxa"/>
            <w:shd w:val="clear" w:color="auto" w:fill="FFFFFF" w:themeFill="background1"/>
            <w:vAlign w:val="center"/>
          </w:tcPr>
          <w:p w14:paraId="59B5286A">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1BE25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6A1256EF">
            <w:pPr>
              <w:jc w:val="center"/>
              <w:rPr>
                <w:rFonts w:hint="default" w:asciiTheme="majorEastAsia" w:hAnsiTheme="majorEastAsia" w:eastAsiaTheme="majorEastAsia"/>
                <w:b/>
                <w:sz w:val="24"/>
                <w:szCs w:val="21"/>
                <w:lang w:val="en-US" w:eastAsia="zh-CN"/>
              </w:rPr>
            </w:pPr>
            <w:r>
              <w:rPr>
                <w:rFonts w:hint="eastAsia" w:asciiTheme="majorEastAsia" w:hAnsiTheme="majorEastAsia" w:eastAsiaTheme="majorEastAsia"/>
                <w:b/>
                <w:sz w:val="24"/>
                <w:szCs w:val="21"/>
                <w:lang w:val="en-US" w:eastAsia="zh-CN"/>
              </w:rPr>
              <w:t>1.2</w:t>
            </w:r>
          </w:p>
        </w:tc>
        <w:tc>
          <w:tcPr>
            <w:tcW w:w="2845" w:type="dxa"/>
            <w:gridSpan w:val="3"/>
            <w:shd w:val="clear" w:color="auto" w:fill="FFFFFF" w:themeFill="background1"/>
            <w:vAlign w:val="center"/>
          </w:tcPr>
          <w:p w14:paraId="4F6C83AE">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全自动血细胞分析仪</w:t>
            </w:r>
          </w:p>
        </w:tc>
        <w:tc>
          <w:tcPr>
            <w:tcW w:w="850" w:type="dxa"/>
            <w:shd w:val="clear" w:color="auto" w:fill="FFFFFF" w:themeFill="background1"/>
            <w:vAlign w:val="center"/>
          </w:tcPr>
          <w:p w14:paraId="4A14BF6F">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567" w:type="dxa"/>
            <w:gridSpan w:val="2"/>
            <w:shd w:val="clear" w:color="auto" w:fill="FFFFFF" w:themeFill="background1"/>
            <w:vAlign w:val="center"/>
          </w:tcPr>
          <w:p w14:paraId="440F2FC0">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4</w:t>
            </w:r>
          </w:p>
        </w:tc>
        <w:tc>
          <w:tcPr>
            <w:tcW w:w="567" w:type="dxa"/>
            <w:shd w:val="clear" w:color="auto" w:fill="FFFFFF" w:themeFill="background1"/>
            <w:vAlign w:val="center"/>
          </w:tcPr>
          <w:p w14:paraId="36676BAB">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851" w:type="dxa"/>
            <w:gridSpan w:val="2"/>
            <w:vMerge w:val="continue"/>
            <w:shd w:val="clear" w:color="auto" w:fill="FFFFFF" w:themeFill="background1"/>
            <w:vAlign w:val="center"/>
          </w:tcPr>
          <w:p w14:paraId="3686F963">
            <w:pPr>
              <w:jc w:val="center"/>
              <w:rPr>
                <w:rFonts w:asciiTheme="majorEastAsia" w:hAnsiTheme="majorEastAsia" w:eastAsiaTheme="majorEastAsia"/>
                <w:sz w:val="24"/>
                <w:szCs w:val="21"/>
              </w:rPr>
            </w:pPr>
          </w:p>
        </w:tc>
        <w:tc>
          <w:tcPr>
            <w:tcW w:w="1134" w:type="dxa"/>
            <w:gridSpan w:val="2"/>
            <w:vMerge w:val="continue"/>
            <w:shd w:val="clear" w:color="auto" w:fill="FFFFFF" w:themeFill="background1"/>
            <w:vAlign w:val="center"/>
          </w:tcPr>
          <w:p w14:paraId="5AFCDA4D">
            <w:pPr>
              <w:jc w:val="center"/>
              <w:rPr>
                <w:rFonts w:asciiTheme="majorEastAsia" w:hAnsiTheme="majorEastAsia" w:eastAsiaTheme="majorEastAsia"/>
                <w:sz w:val="24"/>
                <w:szCs w:val="21"/>
              </w:rPr>
            </w:pPr>
          </w:p>
        </w:tc>
        <w:tc>
          <w:tcPr>
            <w:tcW w:w="1417" w:type="dxa"/>
            <w:shd w:val="clear" w:color="auto" w:fill="FFFFFF" w:themeFill="background1"/>
          </w:tcPr>
          <w:p w14:paraId="367671EE">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是</w:t>
            </w:r>
          </w:p>
        </w:tc>
        <w:tc>
          <w:tcPr>
            <w:tcW w:w="993" w:type="dxa"/>
            <w:shd w:val="clear" w:color="auto" w:fill="FFFFFF" w:themeFill="background1"/>
            <w:vAlign w:val="center"/>
          </w:tcPr>
          <w:p w14:paraId="0097836B">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1062" w:type="dxa"/>
            <w:shd w:val="clear" w:color="auto" w:fill="FFFFFF" w:themeFill="background1"/>
            <w:vAlign w:val="center"/>
          </w:tcPr>
          <w:p w14:paraId="50885971">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630F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0ABDA5D5">
            <w:pPr>
              <w:jc w:val="center"/>
              <w:rPr>
                <w:rFonts w:hint="default" w:asciiTheme="majorEastAsia" w:hAnsiTheme="majorEastAsia" w:eastAsiaTheme="majorEastAsia"/>
                <w:b/>
                <w:sz w:val="24"/>
                <w:szCs w:val="21"/>
                <w:lang w:val="en-US" w:eastAsia="zh-CN"/>
              </w:rPr>
            </w:pPr>
            <w:r>
              <w:rPr>
                <w:rFonts w:hint="eastAsia" w:asciiTheme="majorEastAsia" w:hAnsiTheme="majorEastAsia" w:eastAsiaTheme="majorEastAsia"/>
                <w:b/>
                <w:sz w:val="24"/>
                <w:szCs w:val="21"/>
                <w:lang w:val="en-US" w:eastAsia="zh-CN"/>
              </w:rPr>
              <w:t>1.3</w:t>
            </w:r>
          </w:p>
        </w:tc>
        <w:tc>
          <w:tcPr>
            <w:tcW w:w="2845" w:type="dxa"/>
            <w:gridSpan w:val="3"/>
            <w:shd w:val="clear" w:color="auto" w:fill="FFFFFF" w:themeFill="background1"/>
            <w:vAlign w:val="center"/>
          </w:tcPr>
          <w:p w14:paraId="288F915B">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全自动特定蛋白红细胞沉降分析仪</w:t>
            </w:r>
          </w:p>
        </w:tc>
        <w:tc>
          <w:tcPr>
            <w:tcW w:w="850" w:type="dxa"/>
            <w:shd w:val="clear" w:color="auto" w:fill="FFFFFF" w:themeFill="background1"/>
            <w:vAlign w:val="center"/>
          </w:tcPr>
          <w:p w14:paraId="26C813A5">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567" w:type="dxa"/>
            <w:gridSpan w:val="2"/>
            <w:shd w:val="clear" w:color="auto" w:fill="FFFFFF" w:themeFill="background1"/>
            <w:vAlign w:val="center"/>
          </w:tcPr>
          <w:p w14:paraId="64A674A2">
            <w:pPr>
              <w:jc w:val="center"/>
              <w:rPr>
                <w:rFonts w:asciiTheme="majorEastAsia" w:hAnsiTheme="majorEastAsia" w:eastAsiaTheme="majorEastAsia"/>
                <w:sz w:val="24"/>
                <w:szCs w:val="21"/>
              </w:rPr>
            </w:pPr>
            <w:r>
              <w:rPr>
                <w:rFonts w:asciiTheme="majorEastAsia" w:hAnsiTheme="majorEastAsia" w:eastAsiaTheme="majorEastAsia"/>
                <w:sz w:val="24"/>
                <w:szCs w:val="21"/>
              </w:rPr>
              <w:t>2</w:t>
            </w:r>
          </w:p>
        </w:tc>
        <w:tc>
          <w:tcPr>
            <w:tcW w:w="567" w:type="dxa"/>
            <w:shd w:val="clear" w:color="auto" w:fill="FFFFFF" w:themeFill="background1"/>
            <w:vAlign w:val="center"/>
          </w:tcPr>
          <w:p w14:paraId="60D566EE">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851" w:type="dxa"/>
            <w:gridSpan w:val="2"/>
            <w:vMerge w:val="continue"/>
            <w:shd w:val="clear" w:color="auto" w:fill="FFFFFF" w:themeFill="background1"/>
            <w:vAlign w:val="center"/>
          </w:tcPr>
          <w:p w14:paraId="75DAB0DE">
            <w:pPr>
              <w:jc w:val="center"/>
              <w:rPr>
                <w:rFonts w:asciiTheme="majorEastAsia" w:hAnsiTheme="majorEastAsia" w:eastAsiaTheme="majorEastAsia"/>
                <w:sz w:val="24"/>
                <w:szCs w:val="21"/>
              </w:rPr>
            </w:pPr>
          </w:p>
        </w:tc>
        <w:tc>
          <w:tcPr>
            <w:tcW w:w="1134" w:type="dxa"/>
            <w:gridSpan w:val="2"/>
            <w:vMerge w:val="continue"/>
            <w:shd w:val="clear" w:color="auto" w:fill="FFFFFF" w:themeFill="background1"/>
            <w:vAlign w:val="center"/>
          </w:tcPr>
          <w:p w14:paraId="61C030E1">
            <w:pPr>
              <w:jc w:val="center"/>
              <w:rPr>
                <w:rFonts w:asciiTheme="majorEastAsia" w:hAnsiTheme="majorEastAsia" w:eastAsiaTheme="majorEastAsia"/>
                <w:sz w:val="24"/>
                <w:szCs w:val="21"/>
              </w:rPr>
            </w:pPr>
          </w:p>
        </w:tc>
        <w:tc>
          <w:tcPr>
            <w:tcW w:w="1417" w:type="dxa"/>
            <w:shd w:val="clear" w:color="auto" w:fill="FFFFFF" w:themeFill="background1"/>
          </w:tcPr>
          <w:p w14:paraId="252007E0">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是</w:t>
            </w:r>
          </w:p>
        </w:tc>
        <w:tc>
          <w:tcPr>
            <w:tcW w:w="993" w:type="dxa"/>
            <w:shd w:val="clear" w:color="auto" w:fill="FFFFFF" w:themeFill="background1"/>
            <w:vAlign w:val="center"/>
          </w:tcPr>
          <w:p w14:paraId="58DAD193">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1062" w:type="dxa"/>
            <w:shd w:val="clear" w:color="auto" w:fill="FFFFFF" w:themeFill="background1"/>
            <w:vAlign w:val="center"/>
          </w:tcPr>
          <w:p w14:paraId="5DA6CCE4">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784DF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31" w:type="dxa"/>
            <w:vAlign w:val="center"/>
          </w:tcPr>
          <w:p w14:paraId="595ECF85">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1.</w:t>
            </w:r>
            <w:r>
              <w:rPr>
                <w:rFonts w:hint="eastAsia" w:asciiTheme="majorEastAsia" w:hAnsiTheme="majorEastAsia" w:eastAsiaTheme="majorEastAsia"/>
                <w:b/>
                <w:sz w:val="24"/>
                <w:szCs w:val="21"/>
              </w:rPr>
              <w:t>4</w:t>
            </w:r>
          </w:p>
        </w:tc>
        <w:tc>
          <w:tcPr>
            <w:tcW w:w="2845" w:type="dxa"/>
            <w:gridSpan w:val="3"/>
            <w:shd w:val="clear" w:color="auto" w:fill="FFFFFF" w:themeFill="background1"/>
            <w:vAlign w:val="center"/>
          </w:tcPr>
          <w:p w14:paraId="254C0F2A">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推片染色机</w:t>
            </w:r>
          </w:p>
        </w:tc>
        <w:tc>
          <w:tcPr>
            <w:tcW w:w="850" w:type="dxa"/>
            <w:shd w:val="clear" w:color="auto" w:fill="FFFFFF" w:themeFill="background1"/>
            <w:vAlign w:val="center"/>
          </w:tcPr>
          <w:p w14:paraId="71EE7CAC">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567" w:type="dxa"/>
            <w:gridSpan w:val="2"/>
            <w:shd w:val="clear" w:color="auto" w:fill="FFFFFF" w:themeFill="background1"/>
            <w:vAlign w:val="center"/>
          </w:tcPr>
          <w:p w14:paraId="6531B816">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567" w:type="dxa"/>
            <w:shd w:val="clear" w:color="auto" w:fill="FFFFFF" w:themeFill="background1"/>
            <w:vAlign w:val="center"/>
          </w:tcPr>
          <w:p w14:paraId="3F700985">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851" w:type="dxa"/>
            <w:gridSpan w:val="2"/>
            <w:vMerge w:val="continue"/>
            <w:shd w:val="clear" w:color="auto" w:fill="FFFFFF" w:themeFill="background1"/>
            <w:vAlign w:val="center"/>
          </w:tcPr>
          <w:p w14:paraId="482A11E0">
            <w:pPr>
              <w:jc w:val="center"/>
              <w:rPr>
                <w:rFonts w:asciiTheme="majorEastAsia" w:hAnsiTheme="majorEastAsia" w:eastAsiaTheme="majorEastAsia"/>
                <w:sz w:val="24"/>
                <w:szCs w:val="21"/>
              </w:rPr>
            </w:pPr>
          </w:p>
        </w:tc>
        <w:tc>
          <w:tcPr>
            <w:tcW w:w="1134" w:type="dxa"/>
            <w:gridSpan w:val="2"/>
            <w:vMerge w:val="continue"/>
            <w:shd w:val="clear" w:color="auto" w:fill="FFFFFF" w:themeFill="background1"/>
            <w:vAlign w:val="center"/>
          </w:tcPr>
          <w:p w14:paraId="10FCA10F">
            <w:pPr>
              <w:jc w:val="center"/>
              <w:rPr>
                <w:rFonts w:asciiTheme="majorEastAsia" w:hAnsiTheme="majorEastAsia" w:eastAsiaTheme="majorEastAsia"/>
                <w:sz w:val="24"/>
                <w:szCs w:val="21"/>
              </w:rPr>
            </w:pPr>
          </w:p>
        </w:tc>
        <w:tc>
          <w:tcPr>
            <w:tcW w:w="1417" w:type="dxa"/>
            <w:shd w:val="clear" w:color="auto" w:fill="FFFFFF" w:themeFill="background1"/>
          </w:tcPr>
          <w:p w14:paraId="46BB7864">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是</w:t>
            </w:r>
          </w:p>
        </w:tc>
        <w:tc>
          <w:tcPr>
            <w:tcW w:w="993" w:type="dxa"/>
            <w:shd w:val="clear" w:color="auto" w:fill="FFFFFF" w:themeFill="background1"/>
            <w:vAlign w:val="center"/>
          </w:tcPr>
          <w:p w14:paraId="21067A28">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1062" w:type="dxa"/>
            <w:shd w:val="clear" w:color="auto" w:fill="FFFFFF" w:themeFill="background1"/>
            <w:vAlign w:val="center"/>
          </w:tcPr>
          <w:p w14:paraId="1089249B">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036E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62821AE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1.</w:t>
            </w:r>
            <w:r>
              <w:rPr>
                <w:rFonts w:hint="eastAsia" w:asciiTheme="majorEastAsia" w:hAnsiTheme="majorEastAsia" w:eastAsiaTheme="majorEastAsia"/>
                <w:b/>
                <w:sz w:val="24"/>
                <w:szCs w:val="21"/>
              </w:rPr>
              <w:t>5</w:t>
            </w:r>
          </w:p>
        </w:tc>
        <w:tc>
          <w:tcPr>
            <w:tcW w:w="2845" w:type="dxa"/>
            <w:gridSpan w:val="3"/>
            <w:shd w:val="clear" w:color="auto" w:fill="FFFFFF" w:themeFill="background1"/>
            <w:vAlign w:val="center"/>
          </w:tcPr>
          <w:p w14:paraId="344E27D8">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全自动细胞形态分析仪</w:t>
            </w:r>
          </w:p>
        </w:tc>
        <w:tc>
          <w:tcPr>
            <w:tcW w:w="850" w:type="dxa"/>
            <w:shd w:val="clear" w:color="auto" w:fill="FFFFFF" w:themeFill="background1"/>
            <w:vAlign w:val="center"/>
          </w:tcPr>
          <w:p w14:paraId="355B57D8">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567" w:type="dxa"/>
            <w:gridSpan w:val="2"/>
            <w:shd w:val="clear" w:color="auto" w:fill="FFFFFF" w:themeFill="background1"/>
            <w:vAlign w:val="center"/>
          </w:tcPr>
          <w:p w14:paraId="0C45D329">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567" w:type="dxa"/>
            <w:shd w:val="clear" w:color="auto" w:fill="FFFFFF" w:themeFill="background1"/>
            <w:vAlign w:val="center"/>
          </w:tcPr>
          <w:p w14:paraId="6DC28FA1">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851" w:type="dxa"/>
            <w:gridSpan w:val="2"/>
            <w:vMerge w:val="continue"/>
            <w:shd w:val="clear" w:color="auto" w:fill="FFFFFF" w:themeFill="background1"/>
            <w:vAlign w:val="center"/>
          </w:tcPr>
          <w:p w14:paraId="5C0CF51E">
            <w:pPr>
              <w:jc w:val="center"/>
              <w:rPr>
                <w:rFonts w:asciiTheme="majorEastAsia" w:hAnsiTheme="majorEastAsia" w:eastAsiaTheme="majorEastAsia"/>
                <w:sz w:val="24"/>
                <w:szCs w:val="21"/>
              </w:rPr>
            </w:pPr>
          </w:p>
        </w:tc>
        <w:tc>
          <w:tcPr>
            <w:tcW w:w="1134" w:type="dxa"/>
            <w:gridSpan w:val="2"/>
            <w:vMerge w:val="continue"/>
            <w:shd w:val="clear" w:color="auto" w:fill="FFFFFF" w:themeFill="background1"/>
            <w:vAlign w:val="center"/>
          </w:tcPr>
          <w:p w14:paraId="782473CF">
            <w:pPr>
              <w:jc w:val="center"/>
              <w:rPr>
                <w:rFonts w:asciiTheme="majorEastAsia" w:hAnsiTheme="majorEastAsia" w:eastAsiaTheme="majorEastAsia"/>
                <w:sz w:val="24"/>
                <w:szCs w:val="21"/>
              </w:rPr>
            </w:pPr>
          </w:p>
        </w:tc>
        <w:tc>
          <w:tcPr>
            <w:tcW w:w="1417" w:type="dxa"/>
            <w:shd w:val="clear" w:color="auto" w:fill="FFFFFF" w:themeFill="background1"/>
          </w:tcPr>
          <w:p w14:paraId="297BCC54">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是</w:t>
            </w:r>
          </w:p>
        </w:tc>
        <w:tc>
          <w:tcPr>
            <w:tcW w:w="993" w:type="dxa"/>
            <w:shd w:val="clear" w:color="auto" w:fill="FFFFFF" w:themeFill="background1"/>
            <w:vAlign w:val="center"/>
          </w:tcPr>
          <w:p w14:paraId="0D5A7D5F">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1062" w:type="dxa"/>
            <w:shd w:val="clear" w:color="auto" w:fill="FFFFFF" w:themeFill="background1"/>
            <w:vAlign w:val="center"/>
          </w:tcPr>
          <w:p w14:paraId="63886A98">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2ADE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35FB68D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1.</w:t>
            </w:r>
            <w:r>
              <w:rPr>
                <w:rFonts w:hint="eastAsia" w:asciiTheme="majorEastAsia" w:hAnsiTheme="majorEastAsia" w:eastAsiaTheme="majorEastAsia"/>
                <w:b/>
                <w:sz w:val="24"/>
                <w:szCs w:val="21"/>
              </w:rPr>
              <w:t>6</w:t>
            </w:r>
          </w:p>
        </w:tc>
        <w:tc>
          <w:tcPr>
            <w:tcW w:w="2845" w:type="dxa"/>
            <w:gridSpan w:val="3"/>
            <w:shd w:val="clear" w:color="auto" w:fill="FFFFFF" w:themeFill="background1"/>
            <w:vAlign w:val="center"/>
          </w:tcPr>
          <w:p w14:paraId="08F14032">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糖化血红蛋白分析仪</w:t>
            </w:r>
          </w:p>
        </w:tc>
        <w:tc>
          <w:tcPr>
            <w:tcW w:w="850" w:type="dxa"/>
            <w:shd w:val="clear" w:color="auto" w:fill="FFFFFF" w:themeFill="background1"/>
            <w:vAlign w:val="center"/>
          </w:tcPr>
          <w:p w14:paraId="2A3873F7">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567" w:type="dxa"/>
            <w:gridSpan w:val="2"/>
            <w:shd w:val="clear" w:color="auto" w:fill="FFFFFF" w:themeFill="background1"/>
            <w:vAlign w:val="center"/>
          </w:tcPr>
          <w:p w14:paraId="52C58E3D">
            <w:pPr>
              <w:jc w:val="center"/>
              <w:rPr>
                <w:rFonts w:asciiTheme="majorEastAsia" w:hAnsiTheme="majorEastAsia" w:eastAsiaTheme="majorEastAsia"/>
                <w:sz w:val="24"/>
                <w:szCs w:val="21"/>
              </w:rPr>
            </w:pPr>
            <w:r>
              <w:rPr>
                <w:rFonts w:asciiTheme="majorEastAsia" w:hAnsiTheme="majorEastAsia" w:eastAsiaTheme="majorEastAsia"/>
                <w:sz w:val="24"/>
                <w:szCs w:val="21"/>
              </w:rPr>
              <w:t>2</w:t>
            </w:r>
          </w:p>
        </w:tc>
        <w:tc>
          <w:tcPr>
            <w:tcW w:w="567" w:type="dxa"/>
            <w:shd w:val="clear" w:color="auto" w:fill="FFFFFF" w:themeFill="background1"/>
            <w:vAlign w:val="center"/>
          </w:tcPr>
          <w:p w14:paraId="7FEEAD3F">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851" w:type="dxa"/>
            <w:gridSpan w:val="2"/>
            <w:vMerge w:val="continue"/>
            <w:shd w:val="clear" w:color="auto" w:fill="FFFFFF" w:themeFill="background1"/>
            <w:vAlign w:val="center"/>
          </w:tcPr>
          <w:p w14:paraId="02794A18">
            <w:pPr>
              <w:jc w:val="center"/>
              <w:rPr>
                <w:rFonts w:asciiTheme="majorEastAsia" w:hAnsiTheme="majorEastAsia" w:eastAsiaTheme="majorEastAsia"/>
                <w:sz w:val="24"/>
                <w:szCs w:val="21"/>
              </w:rPr>
            </w:pPr>
          </w:p>
        </w:tc>
        <w:tc>
          <w:tcPr>
            <w:tcW w:w="1134" w:type="dxa"/>
            <w:gridSpan w:val="2"/>
            <w:vMerge w:val="continue"/>
            <w:shd w:val="clear" w:color="auto" w:fill="FFFFFF" w:themeFill="background1"/>
            <w:vAlign w:val="center"/>
          </w:tcPr>
          <w:p w14:paraId="021C261B">
            <w:pPr>
              <w:jc w:val="center"/>
              <w:rPr>
                <w:rFonts w:asciiTheme="majorEastAsia" w:hAnsiTheme="majorEastAsia" w:eastAsiaTheme="majorEastAsia"/>
                <w:sz w:val="24"/>
                <w:szCs w:val="21"/>
              </w:rPr>
            </w:pPr>
          </w:p>
        </w:tc>
        <w:tc>
          <w:tcPr>
            <w:tcW w:w="1417" w:type="dxa"/>
            <w:shd w:val="clear" w:color="auto" w:fill="FFFFFF" w:themeFill="background1"/>
          </w:tcPr>
          <w:p w14:paraId="0CEE93CF">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是</w:t>
            </w:r>
          </w:p>
        </w:tc>
        <w:tc>
          <w:tcPr>
            <w:tcW w:w="993" w:type="dxa"/>
            <w:shd w:val="clear" w:color="auto" w:fill="FFFFFF" w:themeFill="background1"/>
            <w:vAlign w:val="center"/>
          </w:tcPr>
          <w:p w14:paraId="37A926F0">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1062" w:type="dxa"/>
            <w:shd w:val="clear" w:color="auto" w:fill="FFFFFF" w:themeFill="background1"/>
            <w:vAlign w:val="center"/>
          </w:tcPr>
          <w:p w14:paraId="6F47A6FC">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5063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6E62164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1.</w:t>
            </w:r>
            <w:r>
              <w:rPr>
                <w:rFonts w:hint="eastAsia" w:asciiTheme="majorEastAsia" w:hAnsiTheme="majorEastAsia" w:eastAsiaTheme="majorEastAsia"/>
                <w:b/>
                <w:sz w:val="24"/>
                <w:szCs w:val="21"/>
              </w:rPr>
              <w:t>7</w:t>
            </w:r>
          </w:p>
        </w:tc>
        <w:tc>
          <w:tcPr>
            <w:tcW w:w="2845" w:type="dxa"/>
            <w:gridSpan w:val="3"/>
            <w:shd w:val="clear" w:color="auto" w:fill="FFFFFF" w:themeFill="background1"/>
            <w:vAlign w:val="center"/>
          </w:tcPr>
          <w:p w14:paraId="048AD21A">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浓缩试剂稀释仪</w:t>
            </w:r>
          </w:p>
        </w:tc>
        <w:tc>
          <w:tcPr>
            <w:tcW w:w="850" w:type="dxa"/>
            <w:shd w:val="clear" w:color="auto" w:fill="FFFFFF" w:themeFill="background1"/>
            <w:vAlign w:val="center"/>
          </w:tcPr>
          <w:p w14:paraId="236BDD05">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567" w:type="dxa"/>
            <w:gridSpan w:val="2"/>
            <w:shd w:val="clear" w:color="auto" w:fill="FFFFFF" w:themeFill="background1"/>
            <w:vAlign w:val="center"/>
          </w:tcPr>
          <w:p w14:paraId="59843B04">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3</w:t>
            </w:r>
          </w:p>
        </w:tc>
        <w:tc>
          <w:tcPr>
            <w:tcW w:w="567" w:type="dxa"/>
            <w:shd w:val="clear" w:color="auto" w:fill="FFFFFF" w:themeFill="background1"/>
            <w:vAlign w:val="center"/>
          </w:tcPr>
          <w:p w14:paraId="195CF954">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套</w:t>
            </w:r>
          </w:p>
        </w:tc>
        <w:tc>
          <w:tcPr>
            <w:tcW w:w="851" w:type="dxa"/>
            <w:gridSpan w:val="2"/>
            <w:vMerge w:val="continue"/>
            <w:shd w:val="clear" w:color="auto" w:fill="FFFFFF" w:themeFill="background1"/>
            <w:vAlign w:val="center"/>
          </w:tcPr>
          <w:p w14:paraId="02824FF0">
            <w:pPr>
              <w:jc w:val="center"/>
              <w:rPr>
                <w:rFonts w:asciiTheme="majorEastAsia" w:hAnsiTheme="majorEastAsia" w:eastAsiaTheme="majorEastAsia"/>
                <w:sz w:val="24"/>
                <w:szCs w:val="21"/>
              </w:rPr>
            </w:pPr>
          </w:p>
        </w:tc>
        <w:tc>
          <w:tcPr>
            <w:tcW w:w="1134" w:type="dxa"/>
            <w:gridSpan w:val="2"/>
            <w:vMerge w:val="continue"/>
            <w:shd w:val="clear" w:color="auto" w:fill="FFFFFF" w:themeFill="background1"/>
            <w:vAlign w:val="center"/>
          </w:tcPr>
          <w:p w14:paraId="6C2E6FBA">
            <w:pPr>
              <w:jc w:val="center"/>
              <w:rPr>
                <w:rFonts w:asciiTheme="majorEastAsia" w:hAnsiTheme="majorEastAsia" w:eastAsiaTheme="majorEastAsia"/>
                <w:sz w:val="24"/>
                <w:szCs w:val="21"/>
              </w:rPr>
            </w:pPr>
          </w:p>
        </w:tc>
        <w:tc>
          <w:tcPr>
            <w:tcW w:w="1417" w:type="dxa"/>
            <w:shd w:val="clear" w:color="auto" w:fill="FFFFFF" w:themeFill="background1"/>
            <w:vAlign w:val="center"/>
          </w:tcPr>
          <w:p w14:paraId="32B5A253">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993" w:type="dxa"/>
            <w:shd w:val="clear" w:color="auto" w:fill="FFFFFF" w:themeFill="background1"/>
            <w:vAlign w:val="center"/>
          </w:tcPr>
          <w:p w14:paraId="4E195E79">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1062" w:type="dxa"/>
            <w:shd w:val="clear" w:color="auto" w:fill="FFFFFF" w:themeFill="background1"/>
            <w:vAlign w:val="center"/>
          </w:tcPr>
          <w:p w14:paraId="28A317CA">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19D9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1709E10E">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1.</w:t>
            </w:r>
            <w:r>
              <w:rPr>
                <w:rFonts w:hint="eastAsia" w:asciiTheme="majorEastAsia" w:hAnsiTheme="majorEastAsia" w:eastAsiaTheme="majorEastAsia"/>
                <w:b/>
                <w:sz w:val="24"/>
                <w:szCs w:val="21"/>
              </w:rPr>
              <w:t>8</w:t>
            </w:r>
          </w:p>
        </w:tc>
        <w:tc>
          <w:tcPr>
            <w:tcW w:w="2845" w:type="dxa"/>
            <w:gridSpan w:val="3"/>
            <w:shd w:val="clear" w:color="auto" w:fill="FFFFFF" w:themeFill="background1"/>
            <w:vAlign w:val="center"/>
          </w:tcPr>
          <w:p w14:paraId="710B83A4">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轨道组件</w:t>
            </w:r>
          </w:p>
        </w:tc>
        <w:tc>
          <w:tcPr>
            <w:tcW w:w="850" w:type="dxa"/>
            <w:shd w:val="clear" w:color="auto" w:fill="FFFFFF" w:themeFill="background1"/>
            <w:vAlign w:val="center"/>
          </w:tcPr>
          <w:p w14:paraId="61C61533">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567" w:type="dxa"/>
            <w:gridSpan w:val="2"/>
            <w:shd w:val="clear" w:color="auto" w:fill="FFFFFF" w:themeFill="background1"/>
            <w:vAlign w:val="center"/>
          </w:tcPr>
          <w:p w14:paraId="072831A7">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567" w:type="dxa"/>
            <w:shd w:val="clear" w:color="auto" w:fill="FFFFFF" w:themeFill="background1"/>
            <w:vAlign w:val="center"/>
          </w:tcPr>
          <w:p w14:paraId="2C058B44">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套</w:t>
            </w:r>
          </w:p>
        </w:tc>
        <w:tc>
          <w:tcPr>
            <w:tcW w:w="851" w:type="dxa"/>
            <w:gridSpan w:val="2"/>
            <w:vMerge w:val="continue"/>
            <w:shd w:val="clear" w:color="auto" w:fill="FFFFFF" w:themeFill="background1"/>
            <w:vAlign w:val="center"/>
          </w:tcPr>
          <w:p w14:paraId="6BBC80FF">
            <w:pPr>
              <w:jc w:val="center"/>
              <w:rPr>
                <w:rFonts w:asciiTheme="majorEastAsia" w:hAnsiTheme="majorEastAsia" w:eastAsiaTheme="majorEastAsia"/>
                <w:sz w:val="24"/>
                <w:szCs w:val="21"/>
              </w:rPr>
            </w:pPr>
          </w:p>
        </w:tc>
        <w:tc>
          <w:tcPr>
            <w:tcW w:w="1134" w:type="dxa"/>
            <w:gridSpan w:val="2"/>
            <w:vMerge w:val="continue"/>
            <w:shd w:val="clear" w:color="auto" w:fill="FFFFFF" w:themeFill="background1"/>
            <w:vAlign w:val="center"/>
          </w:tcPr>
          <w:p w14:paraId="39ADB9E9">
            <w:pPr>
              <w:jc w:val="center"/>
              <w:rPr>
                <w:rFonts w:asciiTheme="majorEastAsia" w:hAnsiTheme="majorEastAsia" w:eastAsiaTheme="majorEastAsia"/>
                <w:sz w:val="24"/>
                <w:szCs w:val="21"/>
              </w:rPr>
            </w:pPr>
          </w:p>
        </w:tc>
        <w:tc>
          <w:tcPr>
            <w:tcW w:w="1417" w:type="dxa"/>
            <w:shd w:val="clear" w:color="auto" w:fill="FFFFFF" w:themeFill="background1"/>
            <w:vAlign w:val="center"/>
          </w:tcPr>
          <w:p w14:paraId="58C20279">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993" w:type="dxa"/>
            <w:shd w:val="clear" w:color="auto" w:fill="FFFFFF" w:themeFill="background1"/>
            <w:vAlign w:val="center"/>
          </w:tcPr>
          <w:p w14:paraId="25E5CC34">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1062" w:type="dxa"/>
            <w:shd w:val="clear" w:color="auto" w:fill="FFFFFF" w:themeFill="background1"/>
            <w:vAlign w:val="center"/>
          </w:tcPr>
          <w:p w14:paraId="7BD79E1C">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bl>
    <w:p w14:paraId="2AA11639">
      <w:pPr>
        <w:ind w:firstLine="480" w:firstLineChars="150"/>
        <w:rPr>
          <w:rFonts w:cs="方正小标宋简体" w:asciiTheme="majorEastAsia" w:hAnsiTheme="majorEastAsia" w:eastAsiaTheme="majorEastAsia"/>
          <w:sz w:val="32"/>
          <w:szCs w:val="32"/>
        </w:rPr>
      </w:pPr>
      <w:r>
        <w:rPr>
          <w:rFonts w:hint="eastAsia" w:cs="方正小标宋简体" w:asciiTheme="majorEastAsia" w:hAnsiTheme="majorEastAsia" w:eastAsiaTheme="majorEastAsia"/>
          <w:sz w:val="32"/>
          <w:szCs w:val="32"/>
        </w:rPr>
        <w:t>二、特殊资格要求说明</w:t>
      </w:r>
    </w:p>
    <w:p w14:paraId="1C6D861E">
      <w:pPr>
        <w:pStyle w:val="16"/>
        <w:ind w:left="400" w:firstLine="0" w:firstLineChars="0"/>
        <w:rPr>
          <w:rFonts w:asciiTheme="majorEastAsia" w:hAnsiTheme="majorEastAsia" w:eastAsiaTheme="majorEastAsia"/>
          <w:bCs/>
          <w:color w:val="FF0000"/>
          <w:szCs w:val="21"/>
        </w:rPr>
      </w:pPr>
      <w:r>
        <w:rPr>
          <w:rFonts w:hint="eastAsia" w:cs="宋体" w:asciiTheme="majorEastAsia" w:hAnsiTheme="majorEastAsia" w:eastAsiaTheme="majorEastAsia"/>
          <w:sz w:val="24"/>
        </w:rPr>
        <w:t>本项目属于医疗器械目录管理,需提供：</w:t>
      </w:r>
    </w:p>
    <w:p w14:paraId="01109EF0">
      <w:pPr>
        <w:pStyle w:val="16"/>
        <w:adjustRightInd w:val="0"/>
        <w:snapToGrid w:val="0"/>
        <w:ind w:firstLine="480"/>
        <w:rPr>
          <w:rFonts w:cs="方正小标宋简体" w:asciiTheme="majorEastAsia" w:hAnsiTheme="majorEastAsia" w:eastAsiaTheme="majorEastAsia"/>
          <w:b/>
          <w:sz w:val="36"/>
          <w:szCs w:val="36"/>
        </w:rPr>
      </w:pPr>
      <w:r>
        <w:rPr>
          <w:rFonts w:hint="eastAsia" w:cs="宋体" w:asciiTheme="majorEastAsia" w:hAnsiTheme="majorEastAsia" w:eastAsiaTheme="majorEastAsia"/>
          <w:sz w:val="24"/>
        </w:rPr>
        <w:t>若投标供应商为所投产品的生产企业，必须提供《医疗器械生产企业许可（备案）证》且生产范围包含该产品，不在住所或者生产地址所在地销售的厂家还需提供医疗器械经营许可证/（第一类/二类）医疗器械经营备案凭证;若投标供应商为所投产品的代理商或授权供应商，必须提供《医疗器械经营企业许可(备案)证》 且经营范围包含该产品。</w:t>
      </w:r>
    </w:p>
    <w:p w14:paraId="42A45CB3">
      <w:pPr>
        <w:numPr>
          <w:ilvl w:val="0"/>
          <w:numId w:val="1"/>
        </w:numPr>
        <w:jc w:val="center"/>
        <w:rPr>
          <w:rFonts w:cs="方正小标宋简体" w:asciiTheme="majorEastAsia" w:hAnsiTheme="majorEastAsia" w:eastAsiaTheme="majorEastAsia"/>
          <w:b/>
          <w:sz w:val="36"/>
          <w:szCs w:val="36"/>
        </w:rPr>
      </w:pPr>
      <w:r>
        <w:rPr>
          <w:rFonts w:hint="eastAsia" w:cs="方正小标宋简体" w:asciiTheme="majorEastAsia" w:hAnsiTheme="majorEastAsia" w:eastAsiaTheme="majorEastAsia"/>
          <w:b/>
          <w:sz w:val="36"/>
          <w:szCs w:val="36"/>
        </w:rPr>
        <w:t>技术与商务需求</w:t>
      </w:r>
    </w:p>
    <w:p w14:paraId="4D4DB4E9">
      <w:pPr>
        <w:pStyle w:val="16"/>
        <w:adjustRightInd w:val="0"/>
        <w:snapToGrid w:val="0"/>
        <w:ind w:firstLine="482"/>
        <w:rPr>
          <w:rFonts w:cs="宋体" w:asciiTheme="majorEastAsia" w:hAnsiTheme="majorEastAsia" w:eastAsiaTheme="majorEastAsia"/>
          <w:sz w:val="24"/>
        </w:rPr>
      </w:pPr>
      <w:r>
        <w:rPr>
          <w:rFonts w:hint="eastAsia" w:cs="宋体" w:asciiTheme="majorEastAsia" w:hAnsiTheme="majorEastAsia" w:eastAsiaTheme="majorEastAsia"/>
          <w:b/>
          <w:bCs/>
          <w:sz w:val="24"/>
        </w:rPr>
        <w:t>说明：</w:t>
      </w:r>
      <w:r>
        <w:rPr>
          <w:rFonts w:hint="eastAsia" w:cs="宋体" w:asciiTheme="majorEastAsia" w:hAnsiTheme="majorEastAsia" w:eastAsiaTheme="majorEastAsia"/>
          <w:b/>
          <w:sz w:val="24"/>
        </w:rPr>
        <w:t>1.“★”号条款为实质性条款，必须完全满足，不满足则不予采购。</w:t>
      </w:r>
      <w:r>
        <w:rPr>
          <w:rFonts w:hint="eastAsia" w:cs="宋体" w:asciiTheme="majorEastAsia" w:hAnsiTheme="majorEastAsia" w:eastAsiaTheme="majorEastAsia"/>
          <w:sz w:val="20"/>
        </w:rPr>
        <w:t>（核心技</w:t>
      </w:r>
    </w:p>
    <w:p w14:paraId="21A90E95">
      <w:pPr>
        <w:spacing w:before="240"/>
        <w:ind w:firstLine="200" w:firstLineChars="100"/>
        <w:rPr>
          <w:rFonts w:cs="方正小标宋简体" w:asciiTheme="majorEastAsia" w:hAnsiTheme="majorEastAsia" w:eastAsiaTheme="majorEastAsia"/>
          <w:sz w:val="24"/>
          <w:szCs w:val="36"/>
        </w:rPr>
      </w:pPr>
      <w:r>
        <w:rPr>
          <w:rFonts w:hint="eastAsia" w:cs="宋体" w:asciiTheme="majorEastAsia" w:hAnsiTheme="majorEastAsia" w:eastAsiaTheme="majorEastAsia"/>
          <w:sz w:val="20"/>
        </w:rPr>
        <w:t>术要求（以</w:t>
      </w:r>
      <w:r>
        <w:rPr>
          <w:rFonts w:hint="eastAsia" w:cs="宋体" w:asciiTheme="majorEastAsia" w:hAnsiTheme="majorEastAsia" w:eastAsiaTheme="majorEastAsia"/>
          <w:sz w:val="20"/>
          <w:szCs w:val="20"/>
        </w:rPr>
        <w:t>★</w:t>
      </w:r>
      <w:r>
        <w:rPr>
          <w:rFonts w:hint="eastAsia" w:cs="宋体" w:asciiTheme="majorEastAsia" w:hAnsiTheme="majorEastAsia" w:eastAsiaTheme="majorEastAsia"/>
          <w:sz w:val="20"/>
        </w:rPr>
        <w:t>号标注）为技术条款实质性要求不允许负偏离;否则将被否决。</w:t>
      </w:r>
    </w:p>
    <w:p w14:paraId="17D0E4AC">
      <w:pPr>
        <w:ind w:firstLine="360" w:firstLineChars="100"/>
        <w:rPr>
          <w:rFonts w:cs="宋体" w:asciiTheme="majorEastAsia" w:hAnsiTheme="majorEastAsia" w:eastAsiaTheme="majorEastAsia"/>
          <w:bCs/>
          <w:sz w:val="20"/>
          <w:szCs w:val="20"/>
        </w:rPr>
      </w:pPr>
      <w:r>
        <w:rPr>
          <w:rFonts w:hint="eastAsia" w:cs="方正小标宋简体" w:asciiTheme="majorEastAsia" w:hAnsiTheme="majorEastAsia" w:eastAsiaTheme="majorEastAsia"/>
          <w:sz w:val="36"/>
          <w:szCs w:val="36"/>
        </w:rPr>
        <w:t xml:space="preserve">   </w:t>
      </w:r>
      <w:r>
        <w:rPr>
          <w:rFonts w:hint="eastAsia" w:cs="宋体" w:asciiTheme="majorEastAsia" w:hAnsiTheme="majorEastAsia" w:eastAsiaTheme="majorEastAsia"/>
          <w:b/>
          <w:sz w:val="24"/>
        </w:rPr>
        <w:t xml:space="preserve"> 2.“▲”</w:t>
      </w:r>
      <w:r>
        <w:rPr>
          <w:rFonts w:hint="eastAsia" w:cs="宋体" w:asciiTheme="majorEastAsia" w:hAnsiTheme="majorEastAsia" w:eastAsiaTheme="majorEastAsia"/>
          <w:b/>
          <w:bCs/>
          <w:sz w:val="24"/>
        </w:rPr>
        <w:t>号条款为重要技术参数，需逐一确定是否满足。</w:t>
      </w:r>
    </w:p>
    <w:p w14:paraId="49F5D18A">
      <w:pPr>
        <w:ind w:firstLine="201" w:firstLineChars="100"/>
        <w:rPr>
          <w:rFonts w:cs="方正小标宋简体" w:asciiTheme="majorEastAsia" w:hAnsiTheme="majorEastAsia" w:eastAsiaTheme="majorEastAsia"/>
          <w:b/>
          <w:sz w:val="20"/>
          <w:szCs w:val="20"/>
        </w:rPr>
      </w:pPr>
      <w:r>
        <w:rPr>
          <w:rFonts w:hint="eastAsia" w:cs="方正小标宋简体" w:asciiTheme="majorEastAsia" w:hAnsiTheme="majorEastAsia" w:eastAsiaTheme="majorEastAsia"/>
          <w:b/>
          <w:sz w:val="20"/>
          <w:szCs w:val="20"/>
        </w:rPr>
        <w:t>“★”号条款:所投产品如纳入医疗器械管理，投标供应商必须提供所投产品的《医疗器械注册(备案)证》的扫描件。(如有效期不足6个月的，需提供审批部门的回执。)</w:t>
      </w:r>
    </w:p>
    <w:tbl>
      <w:tblPr>
        <w:tblStyle w:val="9"/>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120"/>
        <w:gridCol w:w="7444"/>
        <w:gridCol w:w="817"/>
      </w:tblGrid>
      <w:tr w14:paraId="4FF9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09" w:type="dxa"/>
            <w:gridSpan w:val="4"/>
            <w:vAlign w:val="center"/>
          </w:tcPr>
          <w:p w14:paraId="25C8125C">
            <w:pPr>
              <w:adjustRightInd w:val="0"/>
              <w:snapToGrid w:val="0"/>
              <w:rPr>
                <w:rFonts w:asciiTheme="majorEastAsia" w:hAnsiTheme="majorEastAsia" w:eastAsiaTheme="majorEastAsia"/>
                <w:b/>
                <w:sz w:val="28"/>
                <w:szCs w:val="21"/>
              </w:rPr>
            </w:pPr>
            <w:r>
              <w:rPr>
                <w:rFonts w:hint="eastAsia" w:asciiTheme="majorEastAsia" w:hAnsiTheme="majorEastAsia" w:eastAsiaTheme="majorEastAsia"/>
                <w:b/>
                <w:sz w:val="28"/>
                <w:szCs w:val="21"/>
              </w:rPr>
              <w:t>一、技术部分</w:t>
            </w:r>
          </w:p>
        </w:tc>
        <w:tc>
          <w:tcPr>
            <w:tcW w:w="817" w:type="dxa"/>
            <w:vAlign w:val="center"/>
          </w:tcPr>
          <w:p w14:paraId="68008BAD">
            <w:pPr>
              <w:adjustRightInd w:val="0"/>
              <w:snapToGrid w:val="0"/>
              <w:jc w:val="center"/>
              <w:rPr>
                <w:rFonts w:asciiTheme="majorEastAsia" w:hAnsiTheme="majorEastAsia" w:eastAsiaTheme="majorEastAsia"/>
                <w:b/>
                <w:sz w:val="24"/>
                <w:szCs w:val="21"/>
              </w:rPr>
            </w:pPr>
          </w:p>
        </w:tc>
      </w:tr>
      <w:tr w14:paraId="4E18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Align w:val="center"/>
          </w:tcPr>
          <w:p w14:paraId="010E4C2B">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14:paraId="28D6065D">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564" w:type="dxa"/>
            <w:gridSpan w:val="2"/>
            <w:vAlign w:val="center"/>
          </w:tcPr>
          <w:p w14:paraId="2D766D0C">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73D969C2">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17A5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restart"/>
            <w:vAlign w:val="center"/>
          </w:tcPr>
          <w:p w14:paraId="3AC01A98">
            <w:pPr>
              <w:adjustRightInd w:val="0"/>
              <w:snapToGrid w:val="0"/>
              <w:jc w:val="center"/>
              <w:rPr>
                <w:rFonts w:asciiTheme="majorEastAsia" w:hAnsiTheme="majorEastAsia" w:eastAsiaTheme="majorEastAsia"/>
                <w:b/>
                <w:sz w:val="24"/>
                <w:szCs w:val="21"/>
              </w:rPr>
            </w:pPr>
            <w:r>
              <w:rPr>
                <w:rFonts w:asciiTheme="majorEastAsia" w:hAnsiTheme="majorEastAsia" w:eastAsiaTheme="majorEastAsia"/>
                <w:b/>
                <w:sz w:val="24"/>
                <w:szCs w:val="21"/>
              </w:rPr>
              <w:t>1</w:t>
            </w:r>
          </w:p>
        </w:tc>
        <w:tc>
          <w:tcPr>
            <w:tcW w:w="935" w:type="dxa"/>
            <w:vMerge w:val="restart"/>
            <w:vAlign w:val="center"/>
          </w:tcPr>
          <w:p w14:paraId="2F4C244E">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样本处理系统</w:t>
            </w:r>
          </w:p>
        </w:tc>
        <w:tc>
          <w:tcPr>
            <w:tcW w:w="7564" w:type="dxa"/>
            <w:gridSpan w:val="2"/>
            <w:shd w:val="clear" w:color="auto" w:fill="FFFFFF" w:themeFill="background1"/>
          </w:tcPr>
          <w:p w14:paraId="2CE9A587">
            <w:pPr>
              <w:rPr>
                <w:rFonts w:asciiTheme="minorEastAsia" w:hAnsiTheme="minorEastAsia" w:eastAsiaTheme="minorEastAsia"/>
                <w:b/>
                <w:szCs w:val="21"/>
              </w:rPr>
            </w:pPr>
            <w:r>
              <w:rPr>
                <w:rFonts w:hint="eastAsia" w:asciiTheme="minorEastAsia" w:hAnsiTheme="minorEastAsia" w:eastAsiaTheme="minorEastAsia"/>
                <w:szCs w:val="21"/>
              </w:rPr>
              <w:t>1</w:t>
            </w:r>
            <w:r>
              <w:rPr>
                <w:rFonts w:asciiTheme="minorEastAsia" w:hAnsiTheme="minorEastAsia" w:eastAsiaTheme="minorEastAsia"/>
                <w:szCs w:val="21"/>
              </w:rPr>
              <w:t>.1</w:t>
            </w:r>
            <w:r>
              <w:rPr>
                <w:rFonts w:hint="eastAsia" w:asciiTheme="minorEastAsia" w:hAnsiTheme="minorEastAsia" w:eastAsiaTheme="minorEastAsia"/>
                <w:szCs w:val="21"/>
              </w:rPr>
              <w:t>样本处理系统可以与全自动血液分析流水线通过轨道和软件连接，实现样本的全自动签收、分拣、调度、复检、归档和冷藏等。</w:t>
            </w:r>
          </w:p>
        </w:tc>
        <w:tc>
          <w:tcPr>
            <w:tcW w:w="817" w:type="dxa"/>
            <w:shd w:val="clear" w:color="auto" w:fill="FFFFFF" w:themeFill="background1"/>
          </w:tcPr>
          <w:p w14:paraId="7C543B31">
            <w:pPr>
              <w:adjustRightInd w:val="0"/>
              <w:snapToGrid w:val="0"/>
              <w:rPr>
                <w:rFonts w:asciiTheme="minorEastAsia" w:hAnsiTheme="minorEastAsia" w:eastAsiaTheme="minorEastAsia"/>
                <w:b/>
                <w:szCs w:val="21"/>
              </w:rPr>
            </w:pPr>
          </w:p>
        </w:tc>
      </w:tr>
      <w:tr w14:paraId="55CB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20F882AF">
            <w:pPr>
              <w:adjustRightInd w:val="0"/>
              <w:snapToGrid w:val="0"/>
              <w:jc w:val="center"/>
              <w:rPr>
                <w:rFonts w:asciiTheme="majorEastAsia" w:hAnsiTheme="majorEastAsia" w:eastAsiaTheme="majorEastAsia"/>
                <w:b/>
                <w:sz w:val="24"/>
                <w:szCs w:val="21"/>
              </w:rPr>
            </w:pPr>
          </w:p>
        </w:tc>
        <w:tc>
          <w:tcPr>
            <w:tcW w:w="935" w:type="dxa"/>
            <w:vMerge w:val="continue"/>
          </w:tcPr>
          <w:p w14:paraId="07384A7A">
            <w:pPr>
              <w:adjustRightInd w:val="0"/>
              <w:snapToGrid w:val="0"/>
              <w:jc w:val="center"/>
              <w:rPr>
                <w:rFonts w:asciiTheme="majorEastAsia" w:hAnsiTheme="majorEastAsia" w:eastAsiaTheme="majorEastAsia"/>
                <w:b/>
                <w:sz w:val="24"/>
                <w:szCs w:val="21"/>
              </w:rPr>
            </w:pPr>
          </w:p>
        </w:tc>
        <w:tc>
          <w:tcPr>
            <w:tcW w:w="7564" w:type="dxa"/>
            <w:gridSpan w:val="2"/>
            <w:shd w:val="clear" w:color="auto" w:fill="FFFFFF" w:themeFill="background1"/>
          </w:tcPr>
          <w:p w14:paraId="092BF6B3">
            <w:pPr>
              <w:widowControl/>
              <w:textAlignment w:val="center"/>
              <w:rPr>
                <w:rFonts w:cs="宋体"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szCs w:val="21"/>
              </w:rPr>
              <w:t>1.2具有自动质控、冷藏、储存功能。</w:t>
            </w:r>
          </w:p>
        </w:tc>
        <w:tc>
          <w:tcPr>
            <w:tcW w:w="817" w:type="dxa"/>
            <w:shd w:val="clear" w:color="auto" w:fill="FFFFFF" w:themeFill="background1"/>
          </w:tcPr>
          <w:p w14:paraId="40C05770">
            <w:pPr>
              <w:adjustRightInd w:val="0"/>
              <w:snapToGrid w:val="0"/>
              <w:rPr>
                <w:rFonts w:asciiTheme="minorEastAsia" w:hAnsiTheme="minorEastAsia" w:eastAsiaTheme="minorEastAsia"/>
                <w:b/>
                <w:szCs w:val="21"/>
              </w:rPr>
            </w:pPr>
            <w:r>
              <w:rPr>
                <w:rFonts w:hint="eastAsia" w:cs="宋体" w:asciiTheme="minorEastAsia" w:hAnsiTheme="minorEastAsia" w:eastAsiaTheme="minorEastAsia"/>
                <w:b/>
                <w:szCs w:val="21"/>
              </w:rPr>
              <w:t>▲</w:t>
            </w:r>
          </w:p>
        </w:tc>
      </w:tr>
      <w:tr w14:paraId="7D07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2E43A769">
            <w:pPr>
              <w:adjustRightInd w:val="0"/>
              <w:snapToGrid w:val="0"/>
              <w:jc w:val="center"/>
              <w:rPr>
                <w:rFonts w:asciiTheme="majorEastAsia" w:hAnsiTheme="majorEastAsia" w:eastAsiaTheme="majorEastAsia"/>
                <w:b/>
                <w:sz w:val="24"/>
                <w:szCs w:val="21"/>
              </w:rPr>
            </w:pPr>
          </w:p>
        </w:tc>
        <w:tc>
          <w:tcPr>
            <w:tcW w:w="935" w:type="dxa"/>
            <w:vMerge w:val="continue"/>
          </w:tcPr>
          <w:p w14:paraId="51D77443">
            <w:pPr>
              <w:adjustRightInd w:val="0"/>
              <w:snapToGrid w:val="0"/>
              <w:jc w:val="center"/>
              <w:rPr>
                <w:rFonts w:asciiTheme="majorEastAsia" w:hAnsiTheme="majorEastAsia" w:eastAsiaTheme="majorEastAsia"/>
                <w:b/>
                <w:sz w:val="24"/>
                <w:szCs w:val="21"/>
              </w:rPr>
            </w:pPr>
          </w:p>
        </w:tc>
        <w:tc>
          <w:tcPr>
            <w:tcW w:w="7564" w:type="dxa"/>
            <w:gridSpan w:val="2"/>
            <w:shd w:val="clear" w:color="auto" w:fill="FFFFFF" w:themeFill="background1"/>
          </w:tcPr>
          <w:p w14:paraId="3F27DDC5">
            <w:pPr>
              <w:widowControl/>
              <w:textAlignment w:val="center"/>
              <w:rPr>
                <w:rFonts w:cs="宋体"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szCs w:val="21"/>
              </w:rPr>
              <w:t>1</w:t>
            </w:r>
            <w:r>
              <w:rPr>
                <w:rFonts w:asciiTheme="minorEastAsia" w:hAnsiTheme="minorEastAsia" w:eastAsiaTheme="minorEastAsia"/>
                <w:szCs w:val="21"/>
              </w:rPr>
              <w:t>.3</w:t>
            </w:r>
            <w:r>
              <w:rPr>
                <w:rFonts w:hint="eastAsia" w:asciiTheme="minorEastAsia" w:hAnsiTheme="minorEastAsia" w:eastAsiaTheme="minorEastAsia"/>
                <w:szCs w:val="21"/>
              </w:rPr>
              <w:t>处理速度 ≥1000试管/小时。</w:t>
            </w:r>
          </w:p>
        </w:tc>
        <w:tc>
          <w:tcPr>
            <w:tcW w:w="817" w:type="dxa"/>
            <w:shd w:val="clear" w:color="auto" w:fill="FFFFFF" w:themeFill="background1"/>
          </w:tcPr>
          <w:p w14:paraId="1DFAF6CA">
            <w:pPr>
              <w:adjustRightInd w:val="0"/>
              <w:snapToGrid w:val="0"/>
              <w:rPr>
                <w:rFonts w:asciiTheme="minorEastAsia" w:hAnsiTheme="minorEastAsia" w:eastAsiaTheme="minorEastAsia"/>
                <w:b/>
                <w:szCs w:val="21"/>
              </w:rPr>
            </w:pPr>
          </w:p>
        </w:tc>
      </w:tr>
      <w:tr w14:paraId="392F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4B29F390">
            <w:pPr>
              <w:adjustRightInd w:val="0"/>
              <w:snapToGrid w:val="0"/>
              <w:jc w:val="center"/>
              <w:rPr>
                <w:rFonts w:asciiTheme="majorEastAsia" w:hAnsiTheme="majorEastAsia" w:eastAsiaTheme="majorEastAsia"/>
                <w:b/>
                <w:sz w:val="24"/>
                <w:szCs w:val="21"/>
              </w:rPr>
            </w:pPr>
          </w:p>
        </w:tc>
        <w:tc>
          <w:tcPr>
            <w:tcW w:w="935" w:type="dxa"/>
            <w:vMerge w:val="continue"/>
          </w:tcPr>
          <w:p w14:paraId="1E223B55">
            <w:pPr>
              <w:adjustRightInd w:val="0"/>
              <w:snapToGrid w:val="0"/>
              <w:jc w:val="center"/>
              <w:rPr>
                <w:rFonts w:asciiTheme="majorEastAsia" w:hAnsiTheme="majorEastAsia" w:eastAsiaTheme="majorEastAsia"/>
                <w:b/>
                <w:sz w:val="24"/>
                <w:szCs w:val="21"/>
              </w:rPr>
            </w:pPr>
          </w:p>
        </w:tc>
        <w:tc>
          <w:tcPr>
            <w:tcW w:w="7564" w:type="dxa"/>
            <w:gridSpan w:val="2"/>
            <w:shd w:val="clear" w:color="auto" w:fill="FFFFFF" w:themeFill="background1"/>
          </w:tcPr>
          <w:p w14:paraId="593E6B2B">
            <w:pPr>
              <w:widowControl/>
              <w:textAlignment w:val="center"/>
              <w:rPr>
                <w:rFonts w:cs="宋体"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szCs w:val="21"/>
              </w:rPr>
              <w:t>1</w:t>
            </w:r>
            <w:r>
              <w:rPr>
                <w:rFonts w:asciiTheme="minorEastAsia" w:hAnsiTheme="minorEastAsia" w:eastAsiaTheme="minorEastAsia"/>
                <w:szCs w:val="21"/>
              </w:rPr>
              <w:t>.</w:t>
            </w:r>
            <w:r>
              <w:rPr>
                <w:rFonts w:hint="eastAsia" w:asciiTheme="minorEastAsia" w:hAnsiTheme="minorEastAsia" w:eastAsiaTheme="minorEastAsia"/>
                <w:szCs w:val="21"/>
              </w:rPr>
              <w:t>4支持配备倾倒进样功能模块，自动对样本进行签收并插入试管架。</w:t>
            </w:r>
          </w:p>
        </w:tc>
        <w:tc>
          <w:tcPr>
            <w:tcW w:w="817" w:type="dxa"/>
            <w:shd w:val="clear" w:color="auto" w:fill="FFFFFF" w:themeFill="background1"/>
          </w:tcPr>
          <w:p w14:paraId="7021BA12">
            <w:pPr>
              <w:adjustRightInd w:val="0"/>
              <w:snapToGrid w:val="0"/>
              <w:rPr>
                <w:rFonts w:asciiTheme="minorEastAsia" w:hAnsiTheme="minorEastAsia" w:eastAsiaTheme="minorEastAsia"/>
                <w:b/>
                <w:szCs w:val="21"/>
              </w:rPr>
            </w:pPr>
            <w:r>
              <w:rPr>
                <w:rFonts w:hint="eastAsia" w:cs="宋体" w:asciiTheme="minorEastAsia" w:hAnsiTheme="minorEastAsia" w:eastAsiaTheme="minorEastAsia"/>
                <w:b/>
                <w:szCs w:val="21"/>
              </w:rPr>
              <w:t>▲</w:t>
            </w:r>
          </w:p>
        </w:tc>
      </w:tr>
      <w:tr w14:paraId="3E649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restart"/>
            <w:vAlign w:val="center"/>
          </w:tcPr>
          <w:p w14:paraId="77D74495">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2</w:t>
            </w:r>
          </w:p>
        </w:tc>
        <w:tc>
          <w:tcPr>
            <w:tcW w:w="935" w:type="dxa"/>
            <w:vMerge w:val="restart"/>
            <w:vAlign w:val="center"/>
          </w:tcPr>
          <w:p w14:paraId="186EF082">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全自动血细胞分析仪</w:t>
            </w:r>
          </w:p>
        </w:tc>
        <w:tc>
          <w:tcPr>
            <w:tcW w:w="7564" w:type="dxa"/>
            <w:gridSpan w:val="2"/>
            <w:shd w:val="clear" w:color="auto" w:fill="FFFFFF" w:themeFill="background1"/>
          </w:tcPr>
          <w:p w14:paraId="730D5FC0">
            <w:pPr>
              <w:widowControl/>
              <w:textAlignment w:val="center"/>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.1</w:t>
            </w:r>
            <w:r>
              <w:rPr>
                <w:rFonts w:hint="eastAsia" w:asciiTheme="minorEastAsia" w:hAnsiTheme="minorEastAsia" w:eastAsiaTheme="minorEastAsia"/>
                <w:szCs w:val="21"/>
              </w:rPr>
              <w:t>单机检测速度需满足</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CBC＋DIFF＋NRBC≥120</w:t>
            </w:r>
            <w:r>
              <w:rPr>
                <w:rFonts w:hint="eastAsia" w:asciiTheme="minorEastAsia" w:hAnsiTheme="minorEastAsia" w:eastAsiaTheme="minorEastAsia"/>
                <w:szCs w:val="21"/>
                <w:highlight w:val="none"/>
              </w:rPr>
              <w:t>样本</w:t>
            </w:r>
            <w:r>
              <w:rPr>
                <w:rFonts w:asciiTheme="minorEastAsia" w:hAnsiTheme="minorEastAsia" w:eastAsiaTheme="minorEastAsia"/>
                <w:szCs w:val="21"/>
                <w:highlight w:val="none"/>
              </w:rPr>
              <w:t>/小时。</w:t>
            </w:r>
          </w:p>
        </w:tc>
        <w:tc>
          <w:tcPr>
            <w:tcW w:w="817" w:type="dxa"/>
            <w:shd w:val="clear" w:color="auto" w:fill="FFFFFF" w:themeFill="background1"/>
          </w:tcPr>
          <w:p w14:paraId="631F2F40">
            <w:pPr>
              <w:adjustRightInd w:val="0"/>
              <w:snapToGrid w:val="0"/>
              <w:rPr>
                <w:rFonts w:asciiTheme="minorEastAsia" w:hAnsiTheme="minorEastAsia" w:eastAsiaTheme="minorEastAsia"/>
                <w:b/>
                <w:szCs w:val="21"/>
              </w:rPr>
            </w:pPr>
            <w:r>
              <w:rPr>
                <w:rFonts w:hint="eastAsia" w:cs="宋体" w:asciiTheme="minorEastAsia" w:hAnsiTheme="minorEastAsia" w:eastAsiaTheme="minorEastAsia"/>
                <w:b/>
                <w:szCs w:val="21"/>
              </w:rPr>
              <w:t>▲</w:t>
            </w:r>
          </w:p>
        </w:tc>
      </w:tr>
      <w:tr w14:paraId="331D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33F517F5">
            <w:pPr>
              <w:adjustRightInd w:val="0"/>
              <w:snapToGrid w:val="0"/>
              <w:rPr>
                <w:rFonts w:asciiTheme="majorEastAsia" w:hAnsiTheme="majorEastAsia" w:eastAsiaTheme="majorEastAsia"/>
                <w:b/>
                <w:sz w:val="24"/>
                <w:szCs w:val="21"/>
              </w:rPr>
            </w:pPr>
          </w:p>
        </w:tc>
        <w:tc>
          <w:tcPr>
            <w:tcW w:w="935" w:type="dxa"/>
            <w:vMerge w:val="continue"/>
          </w:tcPr>
          <w:p w14:paraId="5CA4D2D1">
            <w:pPr>
              <w:adjustRightInd w:val="0"/>
              <w:snapToGrid w:val="0"/>
              <w:rPr>
                <w:rFonts w:asciiTheme="majorEastAsia" w:hAnsiTheme="majorEastAsia" w:eastAsiaTheme="majorEastAsia"/>
                <w:b/>
                <w:sz w:val="24"/>
                <w:szCs w:val="21"/>
              </w:rPr>
            </w:pPr>
          </w:p>
        </w:tc>
        <w:tc>
          <w:tcPr>
            <w:tcW w:w="7564" w:type="dxa"/>
            <w:gridSpan w:val="2"/>
            <w:shd w:val="clear" w:color="auto" w:fill="FFFFFF" w:themeFill="background1"/>
          </w:tcPr>
          <w:p w14:paraId="3A387A56">
            <w:pPr>
              <w:widowControl/>
              <w:textAlignment w:val="center"/>
              <w:rPr>
                <w:rFonts w:asciiTheme="minorEastAsia" w:hAnsiTheme="minorEastAsia" w:eastAsiaTheme="minorEastAsia"/>
                <w:szCs w:val="21"/>
              </w:rPr>
            </w:pPr>
            <w:r>
              <w:rPr>
                <w:rFonts w:asciiTheme="minorEastAsia" w:hAnsiTheme="minorEastAsia" w:eastAsiaTheme="minorEastAsia"/>
                <w:szCs w:val="21"/>
              </w:rPr>
              <w:t>2.2检测方法及原理：</w:t>
            </w:r>
            <w:r>
              <w:rPr>
                <w:rFonts w:hint="eastAsia" w:asciiTheme="minorEastAsia" w:hAnsiTheme="minorEastAsia" w:eastAsiaTheme="minorEastAsia"/>
                <w:szCs w:val="21"/>
              </w:rPr>
              <w:t>至少包含</w:t>
            </w:r>
            <w:r>
              <w:rPr>
                <w:rFonts w:asciiTheme="minorEastAsia" w:hAnsiTheme="minorEastAsia" w:eastAsiaTheme="minorEastAsia"/>
                <w:szCs w:val="21"/>
              </w:rPr>
              <w:t>半导体激光法、鞘流阻抗法、核酸荧光染色法、流式细胞技术</w:t>
            </w:r>
            <w:r>
              <w:rPr>
                <w:rFonts w:hint="eastAsia" w:asciiTheme="minorEastAsia" w:hAnsiTheme="minorEastAsia" w:eastAsiaTheme="minorEastAsia"/>
                <w:szCs w:val="21"/>
              </w:rPr>
              <w:t>或更多方法</w:t>
            </w:r>
            <w:r>
              <w:rPr>
                <w:rFonts w:asciiTheme="minorEastAsia" w:hAnsiTheme="minorEastAsia" w:eastAsiaTheme="minorEastAsia"/>
                <w:szCs w:val="21"/>
              </w:rPr>
              <w:t>。</w:t>
            </w:r>
          </w:p>
        </w:tc>
        <w:tc>
          <w:tcPr>
            <w:tcW w:w="817" w:type="dxa"/>
            <w:shd w:val="clear" w:color="auto" w:fill="FFFFFF" w:themeFill="background1"/>
          </w:tcPr>
          <w:p w14:paraId="23BA09FD">
            <w:pPr>
              <w:adjustRightInd w:val="0"/>
              <w:snapToGrid w:val="0"/>
              <w:rPr>
                <w:rFonts w:asciiTheme="minorEastAsia" w:hAnsiTheme="minorEastAsia" w:eastAsiaTheme="minorEastAsia"/>
                <w:b/>
                <w:szCs w:val="21"/>
              </w:rPr>
            </w:pPr>
          </w:p>
        </w:tc>
      </w:tr>
      <w:tr w14:paraId="35A8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1F03C4CD">
            <w:pPr>
              <w:adjustRightInd w:val="0"/>
              <w:snapToGrid w:val="0"/>
              <w:rPr>
                <w:rFonts w:asciiTheme="majorEastAsia" w:hAnsiTheme="majorEastAsia" w:eastAsiaTheme="majorEastAsia"/>
                <w:b/>
                <w:sz w:val="24"/>
                <w:szCs w:val="21"/>
              </w:rPr>
            </w:pPr>
          </w:p>
        </w:tc>
        <w:tc>
          <w:tcPr>
            <w:tcW w:w="935" w:type="dxa"/>
            <w:vMerge w:val="continue"/>
          </w:tcPr>
          <w:p w14:paraId="6EA1A138">
            <w:pPr>
              <w:adjustRightInd w:val="0"/>
              <w:snapToGrid w:val="0"/>
              <w:rPr>
                <w:rFonts w:asciiTheme="majorEastAsia" w:hAnsiTheme="majorEastAsia" w:eastAsiaTheme="majorEastAsia"/>
                <w:b/>
                <w:sz w:val="24"/>
                <w:szCs w:val="21"/>
              </w:rPr>
            </w:pPr>
          </w:p>
        </w:tc>
        <w:tc>
          <w:tcPr>
            <w:tcW w:w="7564" w:type="dxa"/>
            <w:gridSpan w:val="2"/>
            <w:shd w:val="clear" w:color="auto" w:fill="FFFFFF" w:themeFill="background1"/>
          </w:tcPr>
          <w:p w14:paraId="49B2DCC0">
            <w:pPr>
              <w:widowControl/>
              <w:textAlignment w:val="center"/>
              <w:rPr>
                <w:rFonts w:asciiTheme="minorEastAsia" w:hAnsiTheme="minorEastAsia" w:eastAsiaTheme="minorEastAsia"/>
                <w:szCs w:val="21"/>
              </w:rPr>
            </w:pPr>
            <w:r>
              <w:rPr>
                <w:rFonts w:asciiTheme="minorEastAsia" w:hAnsiTheme="minorEastAsia" w:eastAsiaTheme="minorEastAsia"/>
                <w:szCs w:val="21"/>
              </w:rPr>
              <w:t>2.3具有全自动体液（</w:t>
            </w:r>
            <w:r>
              <w:rPr>
                <w:rFonts w:hint="eastAsia" w:asciiTheme="minorEastAsia" w:hAnsiTheme="minorEastAsia" w:eastAsiaTheme="minorEastAsia"/>
                <w:szCs w:val="21"/>
              </w:rPr>
              <w:t>包</w:t>
            </w:r>
            <w:r>
              <w:rPr>
                <w:rFonts w:asciiTheme="minorEastAsia" w:hAnsiTheme="minorEastAsia" w:eastAsiaTheme="minorEastAsia"/>
                <w:szCs w:val="21"/>
              </w:rPr>
              <w:t>含</w:t>
            </w:r>
            <w:r>
              <w:rPr>
                <w:rFonts w:hint="eastAsia" w:asciiTheme="minorEastAsia" w:hAnsiTheme="minorEastAsia" w:eastAsiaTheme="minorEastAsia"/>
                <w:szCs w:val="21"/>
              </w:rPr>
              <w:t>但不限于</w:t>
            </w:r>
            <w:r>
              <w:rPr>
                <w:rFonts w:asciiTheme="minorEastAsia" w:hAnsiTheme="minorEastAsia" w:eastAsiaTheme="minorEastAsia"/>
                <w:szCs w:val="21"/>
              </w:rPr>
              <w:t>胸水、腹水、脑脊液</w:t>
            </w:r>
            <w:r>
              <w:rPr>
                <w:rFonts w:hint="eastAsia" w:asciiTheme="minorEastAsia" w:hAnsiTheme="minorEastAsia" w:eastAsiaTheme="minorEastAsia"/>
                <w:szCs w:val="21"/>
              </w:rPr>
              <w:t>、</w:t>
            </w:r>
            <w:r>
              <w:rPr>
                <w:rFonts w:asciiTheme="minorEastAsia" w:hAnsiTheme="minorEastAsia" w:eastAsiaTheme="minorEastAsia"/>
                <w:szCs w:val="21"/>
              </w:rPr>
              <w:t>滑膜液等体液）细胞计数和对体液中的白细胞进行分类的</w:t>
            </w:r>
            <w:r>
              <w:rPr>
                <w:rFonts w:hint="eastAsia" w:asciiTheme="minorEastAsia" w:hAnsiTheme="minorEastAsia" w:eastAsiaTheme="minorEastAsia"/>
                <w:szCs w:val="21"/>
              </w:rPr>
              <w:t>功能，且</w:t>
            </w:r>
            <w:r>
              <w:rPr>
                <w:rFonts w:asciiTheme="minorEastAsia" w:hAnsiTheme="minorEastAsia" w:eastAsiaTheme="minorEastAsia"/>
                <w:szCs w:val="21"/>
              </w:rPr>
              <w:t>体液模式报告检测参数≥7项</w:t>
            </w:r>
            <w:r>
              <w:rPr>
                <w:rFonts w:hint="eastAsia" w:asciiTheme="minorEastAsia" w:hAnsiTheme="minorEastAsia" w:eastAsiaTheme="minorEastAsia"/>
                <w:szCs w:val="21"/>
              </w:rPr>
              <w:t>。</w:t>
            </w:r>
          </w:p>
        </w:tc>
        <w:tc>
          <w:tcPr>
            <w:tcW w:w="817" w:type="dxa"/>
            <w:shd w:val="clear" w:color="auto" w:fill="FFFFFF" w:themeFill="background1"/>
          </w:tcPr>
          <w:p w14:paraId="6DCB91E1">
            <w:pPr>
              <w:adjustRightInd w:val="0"/>
              <w:snapToGrid w:val="0"/>
              <w:rPr>
                <w:rFonts w:asciiTheme="minorEastAsia" w:hAnsiTheme="minorEastAsia" w:eastAsiaTheme="minorEastAsia"/>
                <w:b/>
                <w:szCs w:val="21"/>
              </w:rPr>
            </w:pPr>
          </w:p>
        </w:tc>
      </w:tr>
      <w:tr w14:paraId="0FA2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18776067">
            <w:pPr>
              <w:adjustRightInd w:val="0"/>
              <w:snapToGrid w:val="0"/>
              <w:rPr>
                <w:rFonts w:asciiTheme="majorEastAsia" w:hAnsiTheme="majorEastAsia" w:eastAsiaTheme="majorEastAsia"/>
                <w:b/>
                <w:sz w:val="24"/>
                <w:szCs w:val="21"/>
              </w:rPr>
            </w:pPr>
          </w:p>
        </w:tc>
        <w:tc>
          <w:tcPr>
            <w:tcW w:w="935" w:type="dxa"/>
            <w:vMerge w:val="continue"/>
          </w:tcPr>
          <w:p w14:paraId="36B9FE53">
            <w:pPr>
              <w:adjustRightInd w:val="0"/>
              <w:snapToGrid w:val="0"/>
              <w:rPr>
                <w:rFonts w:asciiTheme="majorEastAsia" w:hAnsiTheme="majorEastAsia" w:eastAsiaTheme="majorEastAsia"/>
                <w:b/>
                <w:sz w:val="24"/>
                <w:szCs w:val="21"/>
              </w:rPr>
            </w:pPr>
          </w:p>
        </w:tc>
        <w:tc>
          <w:tcPr>
            <w:tcW w:w="7564" w:type="dxa"/>
            <w:gridSpan w:val="2"/>
            <w:shd w:val="clear" w:color="auto" w:fill="FFFFFF" w:themeFill="background1"/>
          </w:tcPr>
          <w:p w14:paraId="185E84C1">
            <w:pPr>
              <w:widowControl/>
              <w:textAlignment w:val="center"/>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.4血液分析线性范围（静脉血）：</w:t>
            </w:r>
            <w:r>
              <w:rPr>
                <w:rFonts w:hint="eastAsia" w:asciiTheme="minorEastAsia" w:hAnsiTheme="minorEastAsia" w:eastAsiaTheme="minorEastAsia"/>
                <w:szCs w:val="21"/>
              </w:rPr>
              <w:t>白细胞（0-500）×10</w:t>
            </w:r>
            <w:r>
              <w:rPr>
                <w:rFonts w:asciiTheme="minorEastAsia" w:hAnsiTheme="minorEastAsia" w:eastAsiaTheme="minorEastAsia"/>
                <w:szCs w:val="21"/>
                <w:vertAlign w:val="superscript"/>
              </w:rPr>
              <w:t>9</w:t>
            </w:r>
            <w:r>
              <w:rPr>
                <w:rFonts w:hint="eastAsia" w:asciiTheme="minorEastAsia" w:hAnsiTheme="minorEastAsia" w:eastAsiaTheme="minorEastAsia"/>
                <w:szCs w:val="21"/>
              </w:rPr>
              <w:t>/L，红细胞（0-8.6）×10</w:t>
            </w:r>
            <w:r>
              <w:rPr>
                <w:rFonts w:asciiTheme="minorEastAsia" w:hAnsiTheme="minorEastAsia" w:eastAsiaTheme="minorEastAsia"/>
                <w:szCs w:val="21"/>
                <w:vertAlign w:val="superscript"/>
              </w:rPr>
              <w:t>12</w:t>
            </w:r>
            <w:r>
              <w:rPr>
                <w:rFonts w:hint="eastAsia" w:asciiTheme="minorEastAsia" w:hAnsiTheme="minorEastAsia" w:eastAsiaTheme="minorEastAsia"/>
                <w:szCs w:val="21"/>
              </w:rPr>
              <w:t>/L，血小板（0-5000）×10</w:t>
            </w:r>
            <w:r>
              <w:rPr>
                <w:rFonts w:asciiTheme="minorEastAsia" w:hAnsiTheme="minorEastAsia" w:eastAsiaTheme="minorEastAsia"/>
                <w:szCs w:val="21"/>
                <w:vertAlign w:val="superscript"/>
              </w:rPr>
              <w:t>9</w:t>
            </w:r>
            <w:r>
              <w:rPr>
                <w:rFonts w:hint="eastAsia" w:asciiTheme="minorEastAsia" w:hAnsiTheme="minorEastAsia" w:eastAsiaTheme="minorEastAsia"/>
                <w:szCs w:val="21"/>
              </w:rPr>
              <w:t>/L。</w:t>
            </w:r>
          </w:p>
        </w:tc>
        <w:tc>
          <w:tcPr>
            <w:tcW w:w="817" w:type="dxa"/>
            <w:shd w:val="clear" w:color="auto" w:fill="FFFFFF" w:themeFill="background1"/>
          </w:tcPr>
          <w:p w14:paraId="7D17A857">
            <w:pPr>
              <w:adjustRightInd w:val="0"/>
              <w:snapToGrid w:val="0"/>
              <w:rPr>
                <w:rFonts w:asciiTheme="minorEastAsia" w:hAnsiTheme="minorEastAsia" w:eastAsiaTheme="minorEastAsia"/>
                <w:b/>
                <w:szCs w:val="21"/>
              </w:rPr>
            </w:pPr>
          </w:p>
        </w:tc>
      </w:tr>
      <w:tr w14:paraId="4095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58277D38">
            <w:pPr>
              <w:adjustRightInd w:val="0"/>
              <w:snapToGrid w:val="0"/>
              <w:rPr>
                <w:rFonts w:asciiTheme="majorEastAsia" w:hAnsiTheme="majorEastAsia" w:eastAsiaTheme="majorEastAsia"/>
                <w:b/>
                <w:sz w:val="24"/>
                <w:szCs w:val="21"/>
              </w:rPr>
            </w:pPr>
          </w:p>
        </w:tc>
        <w:tc>
          <w:tcPr>
            <w:tcW w:w="935" w:type="dxa"/>
            <w:vMerge w:val="continue"/>
          </w:tcPr>
          <w:p w14:paraId="7DFBBD95">
            <w:pPr>
              <w:adjustRightInd w:val="0"/>
              <w:snapToGrid w:val="0"/>
              <w:rPr>
                <w:rFonts w:asciiTheme="majorEastAsia" w:hAnsiTheme="majorEastAsia" w:eastAsiaTheme="majorEastAsia"/>
                <w:b/>
                <w:sz w:val="24"/>
                <w:szCs w:val="21"/>
              </w:rPr>
            </w:pPr>
          </w:p>
        </w:tc>
        <w:tc>
          <w:tcPr>
            <w:tcW w:w="7564" w:type="dxa"/>
            <w:gridSpan w:val="2"/>
            <w:shd w:val="clear" w:color="auto" w:fill="FFFFFF" w:themeFill="background1"/>
          </w:tcPr>
          <w:p w14:paraId="3DA50114">
            <w:pPr>
              <w:widowControl/>
              <w:textAlignment w:val="center"/>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.5</w:t>
            </w:r>
            <w:r>
              <w:rPr>
                <w:rFonts w:hint="eastAsia" w:asciiTheme="minorEastAsia" w:hAnsiTheme="minorEastAsia" w:eastAsiaTheme="minorEastAsia"/>
                <w:szCs w:val="21"/>
              </w:rPr>
              <w:t>具备与设备同品牌复合质控品，一支质控品可以涵盖红细胞计数，白细胞分类、网织红细胞等检测项目。</w:t>
            </w:r>
          </w:p>
        </w:tc>
        <w:tc>
          <w:tcPr>
            <w:tcW w:w="817" w:type="dxa"/>
            <w:shd w:val="clear" w:color="auto" w:fill="FFFFFF" w:themeFill="background1"/>
          </w:tcPr>
          <w:p w14:paraId="7E273128">
            <w:pPr>
              <w:adjustRightInd w:val="0"/>
              <w:snapToGrid w:val="0"/>
              <w:rPr>
                <w:rFonts w:asciiTheme="minorEastAsia" w:hAnsiTheme="minorEastAsia" w:eastAsiaTheme="minorEastAsia"/>
                <w:b/>
                <w:szCs w:val="21"/>
              </w:rPr>
            </w:pPr>
          </w:p>
        </w:tc>
      </w:tr>
      <w:tr w14:paraId="2967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4C3450C6">
            <w:pPr>
              <w:adjustRightInd w:val="0"/>
              <w:snapToGrid w:val="0"/>
              <w:rPr>
                <w:rFonts w:asciiTheme="majorEastAsia" w:hAnsiTheme="majorEastAsia" w:eastAsiaTheme="majorEastAsia"/>
                <w:b/>
                <w:sz w:val="24"/>
                <w:szCs w:val="21"/>
              </w:rPr>
            </w:pPr>
          </w:p>
        </w:tc>
        <w:tc>
          <w:tcPr>
            <w:tcW w:w="935" w:type="dxa"/>
            <w:vMerge w:val="continue"/>
          </w:tcPr>
          <w:p w14:paraId="0E0B891C">
            <w:pPr>
              <w:adjustRightInd w:val="0"/>
              <w:snapToGrid w:val="0"/>
              <w:rPr>
                <w:rFonts w:asciiTheme="majorEastAsia" w:hAnsiTheme="majorEastAsia" w:eastAsiaTheme="majorEastAsia"/>
                <w:b/>
                <w:sz w:val="24"/>
                <w:szCs w:val="21"/>
              </w:rPr>
            </w:pPr>
          </w:p>
        </w:tc>
        <w:tc>
          <w:tcPr>
            <w:tcW w:w="7564" w:type="dxa"/>
            <w:gridSpan w:val="2"/>
            <w:shd w:val="clear" w:color="auto" w:fill="FFFFFF" w:themeFill="background1"/>
          </w:tcPr>
          <w:p w14:paraId="6B97AE18">
            <w:pPr>
              <w:widowControl/>
              <w:textAlignment w:val="center"/>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.6</w:t>
            </w:r>
            <w:r>
              <w:rPr>
                <w:rFonts w:hint="eastAsia" w:asciiTheme="minorEastAsia" w:hAnsiTheme="minorEastAsia" w:eastAsiaTheme="minorEastAsia"/>
                <w:szCs w:val="21"/>
              </w:rPr>
              <w:t>具备与设备同品牌的三个不同浓度水平的体液质控品。</w:t>
            </w:r>
          </w:p>
        </w:tc>
        <w:tc>
          <w:tcPr>
            <w:tcW w:w="817" w:type="dxa"/>
            <w:shd w:val="clear" w:color="auto" w:fill="FFFFFF" w:themeFill="background1"/>
          </w:tcPr>
          <w:p w14:paraId="34FEAE07">
            <w:pPr>
              <w:adjustRightInd w:val="0"/>
              <w:snapToGrid w:val="0"/>
              <w:rPr>
                <w:rFonts w:asciiTheme="minorEastAsia" w:hAnsiTheme="minorEastAsia" w:eastAsiaTheme="minorEastAsia"/>
                <w:b/>
                <w:szCs w:val="21"/>
              </w:rPr>
            </w:pPr>
          </w:p>
        </w:tc>
      </w:tr>
      <w:tr w14:paraId="4F21E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73FDAA2B">
            <w:pPr>
              <w:adjustRightInd w:val="0"/>
              <w:snapToGrid w:val="0"/>
              <w:rPr>
                <w:rFonts w:asciiTheme="majorEastAsia" w:hAnsiTheme="majorEastAsia" w:eastAsiaTheme="majorEastAsia"/>
                <w:b/>
                <w:sz w:val="24"/>
                <w:szCs w:val="21"/>
              </w:rPr>
            </w:pPr>
          </w:p>
        </w:tc>
        <w:tc>
          <w:tcPr>
            <w:tcW w:w="935" w:type="dxa"/>
            <w:vMerge w:val="continue"/>
          </w:tcPr>
          <w:p w14:paraId="65761D31">
            <w:pPr>
              <w:adjustRightInd w:val="0"/>
              <w:snapToGrid w:val="0"/>
              <w:rPr>
                <w:rFonts w:asciiTheme="majorEastAsia" w:hAnsiTheme="majorEastAsia" w:eastAsiaTheme="majorEastAsia"/>
                <w:b/>
                <w:sz w:val="24"/>
                <w:szCs w:val="21"/>
              </w:rPr>
            </w:pPr>
          </w:p>
        </w:tc>
        <w:tc>
          <w:tcPr>
            <w:tcW w:w="7564" w:type="dxa"/>
            <w:gridSpan w:val="2"/>
            <w:shd w:val="clear" w:color="auto" w:fill="FFFFFF" w:themeFill="background1"/>
          </w:tcPr>
          <w:p w14:paraId="7F4ADE74">
            <w:pPr>
              <w:widowControl/>
              <w:textAlignment w:val="center"/>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.7</w:t>
            </w:r>
            <w:r>
              <w:rPr>
                <w:rFonts w:hint="eastAsia" w:asciiTheme="minorEastAsia" w:hAnsiTheme="minorEastAsia" w:eastAsiaTheme="minorEastAsia"/>
                <w:szCs w:val="21"/>
              </w:rPr>
              <w:t xml:space="preserve"> 可以提供浓缩稀释系统对稀释液进行稀释。</w:t>
            </w:r>
          </w:p>
        </w:tc>
        <w:tc>
          <w:tcPr>
            <w:tcW w:w="817" w:type="dxa"/>
            <w:shd w:val="clear" w:color="auto" w:fill="FFFFFF" w:themeFill="background1"/>
          </w:tcPr>
          <w:p w14:paraId="7644F96E">
            <w:pPr>
              <w:adjustRightInd w:val="0"/>
              <w:snapToGrid w:val="0"/>
              <w:rPr>
                <w:rFonts w:asciiTheme="minorEastAsia" w:hAnsiTheme="minorEastAsia" w:eastAsiaTheme="minorEastAsia"/>
                <w:b/>
                <w:szCs w:val="21"/>
              </w:rPr>
            </w:pPr>
          </w:p>
        </w:tc>
      </w:tr>
      <w:tr w14:paraId="1E8FD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10" w:type="dxa"/>
            <w:vMerge w:val="continue"/>
          </w:tcPr>
          <w:p w14:paraId="621CC1CC">
            <w:pPr>
              <w:adjustRightInd w:val="0"/>
              <w:snapToGrid w:val="0"/>
              <w:rPr>
                <w:rFonts w:asciiTheme="majorEastAsia" w:hAnsiTheme="majorEastAsia" w:eastAsiaTheme="majorEastAsia"/>
                <w:b/>
                <w:sz w:val="24"/>
                <w:szCs w:val="21"/>
              </w:rPr>
            </w:pPr>
          </w:p>
        </w:tc>
        <w:tc>
          <w:tcPr>
            <w:tcW w:w="935" w:type="dxa"/>
            <w:vMerge w:val="continue"/>
          </w:tcPr>
          <w:p w14:paraId="0443ACD8">
            <w:pPr>
              <w:adjustRightInd w:val="0"/>
              <w:snapToGrid w:val="0"/>
              <w:rPr>
                <w:rFonts w:asciiTheme="majorEastAsia" w:hAnsiTheme="majorEastAsia" w:eastAsiaTheme="majorEastAsia"/>
                <w:b/>
                <w:sz w:val="24"/>
                <w:szCs w:val="21"/>
              </w:rPr>
            </w:pPr>
          </w:p>
        </w:tc>
        <w:tc>
          <w:tcPr>
            <w:tcW w:w="7564" w:type="dxa"/>
            <w:gridSpan w:val="2"/>
            <w:shd w:val="clear" w:color="auto" w:fill="FFFFFF" w:themeFill="background1"/>
          </w:tcPr>
          <w:p w14:paraId="334A8601">
            <w:pPr>
              <w:widowControl/>
              <w:textAlignment w:val="center"/>
              <w:rPr>
                <w:rFonts w:asciiTheme="minorEastAsia" w:hAnsiTheme="minorEastAsia" w:eastAsiaTheme="minorEastAsia"/>
                <w:szCs w:val="21"/>
              </w:rPr>
            </w:pPr>
            <w:r>
              <w:rPr>
                <w:rFonts w:asciiTheme="minorEastAsia" w:hAnsiTheme="minorEastAsia" w:eastAsiaTheme="minorEastAsia"/>
                <w:szCs w:val="21"/>
              </w:rPr>
              <w:t>2.8</w:t>
            </w:r>
            <w:r>
              <w:rPr>
                <w:rFonts w:hint="eastAsia" w:asciiTheme="minorEastAsia" w:hAnsiTheme="minorEastAsia" w:eastAsiaTheme="minorEastAsia"/>
                <w:szCs w:val="21"/>
              </w:rPr>
              <w:t>提供原厂校准品及校准品溯源报告。</w:t>
            </w:r>
          </w:p>
        </w:tc>
        <w:tc>
          <w:tcPr>
            <w:tcW w:w="817" w:type="dxa"/>
            <w:shd w:val="clear" w:color="auto" w:fill="FFFFFF" w:themeFill="background1"/>
          </w:tcPr>
          <w:p w14:paraId="4D039C4B">
            <w:pPr>
              <w:adjustRightInd w:val="0"/>
              <w:snapToGrid w:val="0"/>
              <w:rPr>
                <w:rFonts w:asciiTheme="minorEastAsia" w:hAnsiTheme="minorEastAsia" w:eastAsiaTheme="minorEastAsia"/>
                <w:b/>
                <w:szCs w:val="21"/>
              </w:rPr>
            </w:pPr>
          </w:p>
        </w:tc>
      </w:tr>
      <w:tr w14:paraId="54B0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restart"/>
            <w:vAlign w:val="center"/>
          </w:tcPr>
          <w:p w14:paraId="11496330">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3</w:t>
            </w:r>
          </w:p>
        </w:tc>
        <w:tc>
          <w:tcPr>
            <w:tcW w:w="935" w:type="dxa"/>
            <w:vMerge w:val="restart"/>
            <w:vAlign w:val="center"/>
          </w:tcPr>
          <w:p w14:paraId="476EF4B7">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全自动特定蛋白红细胞沉降分析仪</w:t>
            </w:r>
          </w:p>
        </w:tc>
        <w:tc>
          <w:tcPr>
            <w:tcW w:w="7564" w:type="dxa"/>
            <w:gridSpan w:val="2"/>
            <w:shd w:val="clear" w:color="auto" w:fill="FFFFFF" w:themeFill="background1"/>
          </w:tcPr>
          <w:p w14:paraId="06AEE6E0">
            <w:pPr>
              <w:widowControl/>
              <w:textAlignment w:val="center"/>
              <w:rPr>
                <w:rFonts w:asciiTheme="minorEastAsia" w:hAnsiTheme="minorEastAsia" w:eastAsiaTheme="minorEastAsia"/>
                <w:szCs w:val="21"/>
              </w:rPr>
            </w:pPr>
            <w:r>
              <w:rPr>
                <w:rFonts w:hint="eastAsia" w:asciiTheme="minorEastAsia" w:hAnsiTheme="minorEastAsia" w:eastAsiaTheme="minorEastAsia"/>
                <w:szCs w:val="21"/>
              </w:rPr>
              <w:t>3</w:t>
            </w:r>
            <w:r>
              <w:rPr>
                <w:rFonts w:asciiTheme="minorEastAsia" w:hAnsiTheme="minorEastAsia" w:eastAsiaTheme="minorEastAsia"/>
                <w:szCs w:val="21"/>
              </w:rPr>
              <w:t>.1</w:t>
            </w:r>
            <w:r>
              <w:rPr>
                <w:rFonts w:hint="eastAsia" w:asciiTheme="minorEastAsia" w:hAnsiTheme="minorEastAsia" w:eastAsiaTheme="minorEastAsia"/>
                <w:szCs w:val="21"/>
              </w:rPr>
              <w:t>全自动特定蛋白分析仪需与血液细胞分析仪检测结果兼容。</w:t>
            </w:r>
          </w:p>
        </w:tc>
        <w:tc>
          <w:tcPr>
            <w:tcW w:w="817" w:type="dxa"/>
            <w:shd w:val="clear" w:color="auto" w:fill="FFFFFF" w:themeFill="background1"/>
          </w:tcPr>
          <w:p w14:paraId="7EDBE368">
            <w:pPr>
              <w:adjustRightInd w:val="0"/>
              <w:snapToGrid w:val="0"/>
              <w:rPr>
                <w:rFonts w:asciiTheme="minorEastAsia" w:hAnsiTheme="minorEastAsia" w:eastAsiaTheme="minorEastAsia"/>
                <w:b/>
                <w:szCs w:val="21"/>
              </w:rPr>
            </w:pPr>
          </w:p>
        </w:tc>
      </w:tr>
      <w:tr w14:paraId="37204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vAlign w:val="center"/>
          </w:tcPr>
          <w:p w14:paraId="008775F4">
            <w:pPr>
              <w:adjustRightInd w:val="0"/>
              <w:snapToGrid w:val="0"/>
              <w:rPr>
                <w:rFonts w:asciiTheme="majorEastAsia" w:hAnsiTheme="majorEastAsia" w:eastAsiaTheme="majorEastAsia"/>
                <w:b/>
                <w:sz w:val="24"/>
                <w:szCs w:val="21"/>
              </w:rPr>
            </w:pPr>
          </w:p>
        </w:tc>
        <w:tc>
          <w:tcPr>
            <w:tcW w:w="935" w:type="dxa"/>
            <w:vMerge w:val="continue"/>
            <w:vAlign w:val="center"/>
          </w:tcPr>
          <w:p w14:paraId="67C4C68A">
            <w:pPr>
              <w:adjustRightInd w:val="0"/>
              <w:snapToGrid w:val="0"/>
              <w:rPr>
                <w:rFonts w:asciiTheme="majorEastAsia" w:hAnsiTheme="majorEastAsia" w:eastAsiaTheme="majorEastAsia"/>
                <w:b/>
                <w:sz w:val="24"/>
                <w:szCs w:val="21"/>
              </w:rPr>
            </w:pPr>
          </w:p>
        </w:tc>
        <w:tc>
          <w:tcPr>
            <w:tcW w:w="7564" w:type="dxa"/>
            <w:gridSpan w:val="2"/>
            <w:shd w:val="clear" w:color="auto" w:fill="FFFFFF" w:themeFill="background1"/>
          </w:tcPr>
          <w:p w14:paraId="03017F1E">
            <w:pPr>
              <w:widowControl/>
              <w:textAlignment w:val="center"/>
              <w:rPr>
                <w:rFonts w:asciiTheme="minorEastAsia" w:hAnsiTheme="minorEastAsia" w:eastAsiaTheme="minorEastAsia"/>
                <w:szCs w:val="21"/>
              </w:rPr>
            </w:pPr>
            <w:r>
              <w:rPr>
                <w:rFonts w:hint="eastAsia" w:asciiTheme="minorEastAsia" w:hAnsiTheme="minorEastAsia" w:eastAsiaTheme="minorEastAsia"/>
                <w:szCs w:val="21"/>
              </w:rPr>
              <w:t>3</w:t>
            </w:r>
            <w:r>
              <w:rPr>
                <w:rFonts w:asciiTheme="minorEastAsia" w:hAnsiTheme="minorEastAsia" w:eastAsiaTheme="minorEastAsia"/>
                <w:szCs w:val="21"/>
              </w:rPr>
              <w:t>.2</w:t>
            </w:r>
            <w:r>
              <w:rPr>
                <w:rFonts w:hint="eastAsia" w:asciiTheme="minorEastAsia" w:hAnsiTheme="minorEastAsia" w:eastAsiaTheme="minorEastAsia"/>
                <w:szCs w:val="21"/>
              </w:rPr>
              <w:t>具备设备同品牌C</w:t>
            </w:r>
            <w:r>
              <w:rPr>
                <w:rFonts w:asciiTheme="minorEastAsia" w:hAnsiTheme="minorEastAsia" w:eastAsiaTheme="minorEastAsia"/>
                <w:szCs w:val="21"/>
              </w:rPr>
              <w:t>RP</w:t>
            </w:r>
            <w:r>
              <w:rPr>
                <w:rFonts w:hint="eastAsia" w:asciiTheme="minorEastAsia" w:hAnsiTheme="minorEastAsia" w:eastAsiaTheme="minorEastAsia"/>
                <w:szCs w:val="21"/>
              </w:rPr>
              <w:t>及S</w:t>
            </w:r>
            <w:r>
              <w:rPr>
                <w:rFonts w:asciiTheme="minorEastAsia" w:hAnsiTheme="minorEastAsia" w:eastAsiaTheme="minorEastAsia"/>
                <w:szCs w:val="21"/>
              </w:rPr>
              <w:t>AA</w:t>
            </w:r>
            <w:r>
              <w:rPr>
                <w:rFonts w:hint="eastAsia" w:asciiTheme="minorEastAsia" w:hAnsiTheme="minorEastAsia" w:eastAsiaTheme="minorEastAsia"/>
                <w:szCs w:val="21"/>
              </w:rPr>
              <w:t>的校准品。</w:t>
            </w:r>
          </w:p>
        </w:tc>
        <w:tc>
          <w:tcPr>
            <w:tcW w:w="817" w:type="dxa"/>
            <w:shd w:val="clear" w:color="auto" w:fill="FFFFFF" w:themeFill="background1"/>
          </w:tcPr>
          <w:p w14:paraId="6B765ED0">
            <w:pPr>
              <w:adjustRightInd w:val="0"/>
              <w:snapToGrid w:val="0"/>
              <w:rPr>
                <w:rFonts w:asciiTheme="minorEastAsia" w:hAnsiTheme="minorEastAsia" w:eastAsiaTheme="minorEastAsia"/>
                <w:b/>
                <w:szCs w:val="21"/>
              </w:rPr>
            </w:pPr>
          </w:p>
        </w:tc>
      </w:tr>
      <w:tr w14:paraId="14E5E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vAlign w:val="center"/>
          </w:tcPr>
          <w:p w14:paraId="6C0DAA8C">
            <w:pPr>
              <w:adjustRightInd w:val="0"/>
              <w:snapToGrid w:val="0"/>
              <w:rPr>
                <w:rFonts w:asciiTheme="majorEastAsia" w:hAnsiTheme="majorEastAsia" w:eastAsiaTheme="majorEastAsia"/>
                <w:b/>
                <w:sz w:val="24"/>
                <w:szCs w:val="21"/>
              </w:rPr>
            </w:pPr>
          </w:p>
        </w:tc>
        <w:tc>
          <w:tcPr>
            <w:tcW w:w="935" w:type="dxa"/>
            <w:vMerge w:val="continue"/>
            <w:vAlign w:val="center"/>
          </w:tcPr>
          <w:p w14:paraId="6354B831">
            <w:pPr>
              <w:adjustRightInd w:val="0"/>
              <w:snapToGrid w:val="0"/>
              <w:rPr>
                <w:rFonts w:asciiTheme="majorEastAsia" w:hAnsiTheme="majorEastAsia" w:eastAsiaTheme="majorEastAsia"/>
                <w:b/>
                <w:sz w:val="24"/>
                <w:szCs w:val="21"/>
              </w:rPr>
            </w:pPr>
          </w:p>
        </w:tc>
        <w:tc>
          <w:tcPr>
            <w:tcW w:w="7564" w:type="dxa"/>
            <w:gridSpan w:val="2"/>
            <w:shd w:val="clear" w:color="auto" w:fill="FFFFFF" w:themeFill="background1"/>
          </w:tcPr>
          <w:p w14:paraId="442B090A">
            <w:pPr>
              <w:widowControl/>
              <w:textAlignment w:val="center"/>
              <w:rPr>
                <w:rFonts w:asciiTheme="minorEastAsia" w:hAnsiTheme="minorEastAsia" w:eastAsiaTheme="minorEastAsia"/>
                <w:szCs w:val="21"/>
              </w:rPr>
            </w:pPr>
            <w:r>
              <w:rPr>
                <w:rFonts w:hint="eastAsia" w:asciiTheme="minorEastAsia" w:hAnsiTheme="minorEastAsia" w:eastAsiaTheme="minorEastAsia"/>
                <w:szCs w:val="21"/>
              </w:rPr>
              <w:t>3</w:t>
            </w:r>
            <w:r>
              <w:rPr>
                <w:rFonts w:asciiTheme="minorEastAsia" w:hAnsiTheme="minorEastAsia" w:eastAsiaTheme="minorEastAsia"/>
                <w:szCs w:val="21"/>
              </w:rPr>
              <w:t>.3</w:t>
            </w:r>
            <w:r>
              <w:rPr>
                <w:rFonts w:hint="eastAsia" w:asciiTheme="minorEastAsia" w:hAnsiTheme="minorEastAsia" w:eastAsiaTheme="minorEastAsia"/>
                <w:szCs w:val="21"/>
              </w:rPr>
              <w:t>单台全自动特定蛋白分析仪检测速度C</w:t>
            </w:r>
            <w:r>
              <w:rPr>
                <w:rFonts w:asciiTheme="minorEastAsia" w:hAnsiTheme="minorEastAsia" w:eastAsiaTheme="minorEastAsia"/>
                <w:szCs w:val="21"/>
              </w:rPr>
              <w:t>RP</w:t>
            </w:r>
            <w:r>
              <w:rPr>
                <w:rFonts w:hint="eastAsia" w:asciiTheme="minorEastAsia" w:hAnsiTheme="minorEastAsia" w:eastAsiaTheme="minorEastAsia"/>
                <w:szCs w:val="21"/>
              </w:rPr>
              <w:t>或S</w:t>
            </w:r>
            <w:r>
              <w:rPr>
                <w:rFonts w:asciiTheme="minorEastAsia" w:hAnsiTheme="minorEastAsia" w:eastAsiaTheme="minorEastAsia"/>
                <w:szCs w:val="21"/>
              </w:rPr>
              <w:t>AA</w:t>
            </w:r>
            <w:r>
              <w:rPr>
                <w:rFonts w:hint="eastAsia" w:asciiTheme="minorEastAsia" w:hAnsiTheme="minorEastAsia" w:eastAsiaTheme="minorEastAsia"/>
                <w:szCs w:val="21"/>
              </w:rPr>
              <w:t>需≥1</w:t>
            </w:r>
            <w:r>
              <w:rPr>
                <w:rFonts w:asciiTheme="minorEastAsia" w:hAnsiTheme="minorEastAsia" w:eastAsiaTheme="minorEastAsia"/>
                <w:szCs w:val="21"/>
              </w:rPr>
              <w:t>20</w:t>
            </w:r>
            <w:r>
              <w:rPr>
                <w:rFonts w:hint="eastAsia" w:asciiTheme="minorEastAsia" w:hAnsiTheme="minorEastAsia" w:eastAsiaTheme="minorEastAsia"/>
                <w:szCs w:val="21"/>
              </w:rPr>
              <w:t>T/小时。</w:t>
            </w:r>
          </w:p>
        </w:tc>
        <w:tc>
          <w:tcPr>
            <w:tcW w:w="817" w:type="dxa"/>
            <w:shd w:val="clear" w:color="auto" w:fill="FFFFFF" w:themeFill="background1"/>
          </w:tcPr>
          <w:p w14:paraId="4206AB49">
            <w:pPr>
              <w:adjustRightInd w:val="0"/>
              <w:snapToGrid w:val="0"/>
              <w:rPr>
                <w:rFonts w:asciiTheme="minorEastAsia" w:hAnsiTheme="minorEastAsia" w:eastAsiaTheme="minorEastAsia"/>
                <w:b/>
                <w:szCs w:val="21"/>
              </w:rPr>
            </w:pPr>
          </w:p>
        </w:tc>
      </w:tr>
      <w:tr w14:paraId="515A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vAlign w:val="center"/>
          </w:tcPr>
          <w:p w14:paraId="285D130D">
            <w:pPr>
              <w:adjustRightInd w:val="0"/>
              <w:snapToGrid w:val="0"/>
              <w:rPr>
                <w:rFonts w:asciiTheme="majorEastAsia" w:hAnsiTheme="majorEastAsia" w:eastAsiaTheme="majorEastAsia"/>
                <w:b/>
                <w:sz w:val="24"/>
                <w:szCs w:val="21"/>
              </w:rPr>
            </w:pPr>
          </w:p>
        </w:tc>
        <w:tc>
          <w:tcPr>
            <w:tcW w:w="935" w:type="dxa"/>
            <w:vMerge w:val="continue"/>
            <w:vAlign w:val="center"/>
          </w:tcPr>
          <w:p w14:paraId="15B0A973">
            <w:pPr>
              <w:adjustRightInd w:val="0"/>
              <w:snapToGrid w:val="0"/>
              <w:rPr>
                <w:rFonts w:asciiTheme="majorEastAsia" w:hAnsiTheme="majorEastAsia" w:eastAsiaTheme="majorEastAsia"/>
                <w:b/>
                <w:sz w:val="24"/>
                <w:szCs w:val="21"/>
              </w:rPr>
            </w:pPr>
          </w:p>
        </w:tc>
        <w:tc>
          <w:tcPr>
            <w:tcW w:w="7564" w:type="dxa"/>
            <w:gridSpan w:val="2"/>
            <w:shd w:val="clear" w:color="auto" w:fill="FFFFFF" w:themeFill="background1"/>
          </w:tcPr>
          <w:p w14:paraId="35615E72">
            <w:pPr>
              <w:widowControl/>
              <w:textAlignment w:val="center"/>
              <w:rPr>
                <w:rFonts w:asciiTheme="minorEastAsia" w:hAnsiTheme="minorEastAsia" w:eastAsiaTheme="minorEastAsia"/>
                <w:szCs w:val="21"/>
              </w:rPr>
            </w:pPr>
            <w:r>
              <w:rPr>
                <w:rFonts w:asciiTheme="minorEastAsia" w:hAnsiTheme="minorEastAsia" w:eastAsiaTheme="minorEastAsia"/>
                <w:szCs w:val="21"/>
              </w:rPr>
              <w:t>3.4</w:t>
            </w:r>
            <w:r>
              <w:rPr>
                <w:rFonts w:hint="eastAsia" w:asciiTheme="minorEastAsia" w:hAnsiTheme="minorEastAsia" w:eastAsiaTheme="minorEastAsia"/>
                <w:szCs w:val="21"/>
              </w:rPr>
              <w:t xml:space="preserve"> CRP分析原理为免疫散射速率法。（以说明书为准）</w:t>
            </w:r>
          </w:p>
        </w:tc>
        <w:tc>
          <w:tcPr>
            <w:tcW w:w="817" w:type="dxa"/>
            <w:shd w:val="clear" w:color="auto" w:fill="FFFFFF" w:themeFill="background1"/>
          </w:tcPr>
          <w:p w14:paraId="737101B2">
            <w:pPr>
              <w:adjustRightInd w:val="0"/>
              <w:snapToGrid w:val="0"/>
              <w:rPr>
                <w:rFonts w:asciiTheme="minorEastAsia" w:hAnsiTheme="minorEastAsia" w:eastAsiaTheme="minorEastAsia"/>
                <w:b/>
                <w:szCs w:val="21"/>
              </w:rPr>
            </w:pPr>
          </w:p>
        </w:tc>
      </w:tr>
      <w:tr w14:paraId="71BD4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vAlign w:val="center"/>
          </w:tcPr>
          <w:p w14:paraId="473BA2F9">
            <w:pPr>
              <w:adjustRightInd w:val="0"/>
              <w:snapToGrid w:val="0"/>
              <w:rPr>
                <w:rFonts w:asciiTheme="majorEastAsia" w:hAnsiTheme="majorEastAsia" w:eastAsiaTheme="majorEastAsia"/>
                <w:b/>
                <w:sz w:val="24"/>
                <w:szCs w:val="21"/>
              </w:rPr>
            </w:pPr>
          </w:p>
        </w:tc>
        <w:tc>
          <w:tcPr>
            <w:tcW w:w="935" w:type="dxa"/>
            <w:vMerge w:val="continue"/>
            <w:vAlign w:val="center"/>
          </w:tcPr>
          <w:p w14:paraId="55E7F336">
            <w:pPr>
              <w:adjustRightInd w:val="0"/>
              <w:snapToGrid w:val="0"/>
              <w:rPr>
                <w:rFonts w:asciiTheme="majorEastAsia" w:hAnsiTheme="majorEastAsia" w:eastAsiaTheme="majorEastAsia"/>
                <w:b/>
                <w:sz w:val="24"/>
                <w:szCs w:val="21"/>
              </w:rPr>
            </w:pPr>
          </w:p>
        </w:tc>
        <w:tc>
          <w:tcPr>
            <w:tcW w:w="7564" w:type="dxa"/>
            <w:gridSpan w:val="2"/>
            <w:shd w:val="clear" w:color="auto" w:fill="FFFFFF" w:themeFill="background1"/>
          </w:tcPr>
          <w:p w14:paraId="3E6A46C5">
            <w:pPr>
              <w:widowControl/>
              <w:textAlignment w:val="center"/>
              <w:rPr>
                <w:rFonts w:asciiTheme="minorEastAsia" w:hAnsiTheme="minorEastAsia" w:eastAsiaTheme="minorEastAsia"/>
                <w:szCs w:val="21"/>
              </w:rPr>
            </w:pPr>
            <w:r>
              <w:rPr>
                <w:rFonts w:hint="eastAsia" w:asciiTheme="minorEastAsia" w:hAnsiTheme="minorEastAsia" w:eastAsiaTheme="minorEastAsia"/>
                <w:szCs w:val="21"/>
              </w:rPr>
              <w:t>3</w:t>
            </w:r>
            <w:r>
              <w:rPr>
                <w:rFonts w:asciiTheme="minorEastAsia" w:hAnsiTheme="minorEastAsia" w:eastAsiaTheme="minorEastAsia"/>
                <w:szCs w:val="21"/>
              </w:rPr>
              <w:t>.5</w:t>
            </w:r>
            <w:r>
              <w:rPr>
                <w:rFonts w:hint="eastAsia" w:asciiTheme="minorEastAsia" w:hAnsiTheme="minorEastAsia" w:eastAsiaTheme="minorEastAsia"/>
                <w:szCs w:val="21"/>
              </w:rPr>
              <w:t xml:space="preserve"> </w:t>
            </w:r>
            <w:r>
              <w:rPr>
                <w:rFonts w:asciiTheme="minorEastAsia" w:hAnsiTheme="minorEastAsia" w:eastAsiaTheme="minorEastAsia"/>
                <w:szCs w:val="21"/>
              </w:rPr>
              <w:t>CRP线性范围：0.2~320</w:t>
            </w:r>
            <w:r>
              <w:rPr>
                <w:rFonts w:hint="eastAsia" w:asciiTheme="minorEastAsia" w:hAnsiTheme="minorEastAsia" w:eastAsiaTheme="minorEastAsia"/>
                <w:szCs w:val="21"/>
              </w:rPr>
              <w:t xml:space="preserve"> </w:t>
            </w:r>
            <w:r>
              <w:rPr>
                <w:rFonts w:asciiTheme="minorEastAsia" w:hAnsiTheme="minorEastAsia" w:eastAsiaTheme="minorEastAsia"/>
                <w:szCs w:val="21"/>
              </w:rPr>
              <w:t>mg/L</w:t>
            </w:r>
            <w:r>
              <w:rPr>
                <w:rFonts w:hint="eastAsia" w:asciiTheme="minorEastAsia" w:hAnsiTheme="minorEastAsia" w:eastAsiaTheme="minorEastAsia"/>
                <w:szCs w:val="21"/>
              </w:rPr>
              <w:t>（以产品说明书为准）</w:t>
            </w:r>
          </w:p>
        </w:tc>
        <w:tc>
          <w:tcPr>
            <w:tcW w:w="817" w:type="dxa"/>
            <w:shd w:val="clear" w:color="auto" w:fill="FFFFFF" w:themeFill="background1"/>
          </w:tcPr>
          <w:p w14:paraId="0E29B97A">
            <w:pPr>
              <w:adjustRightInd w:val="0"/>
              <w:snapToGrid w:val="0"/>
              <w:rPr>
                <w:rFonts w:asciiTheme="minorEastAsia" w:hAnsiTheme="minorEastAsia" w:eastAsiaTheme="minorEastAsia"/>
                <w:b/>
                <w:szCs w:val="21"/>
              </w:rPr>
            </w:pPr>
          </w:p>
        </w:tc>
      </w:tr>
      <w:tr w14:paraId="3B91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10" w:type="dxa"/>
            <w:vMerge w:val="continue"/>
            <w:vAlign w:val="center"/>
          </w:tcPr>
          <w:p w14:paraId="04BA949E">
            <w:pPr>
              <w:adjustRightInd w:val="0"/>
              <w:snapToGrid w:val="0"/>
              <w:rPr>
                <w:rFonts w:asciiTheme="majorEastAsia" w:hAnsiTheme="majorEastAsia" w:eastAsiaTheme="majorEastAsia"/>
                <w:b/>
                <w:sz w:val="24"/>
                <w:szCs w:val="21"/>
              </w:rPr>
            </w:pPr>
          </w:p>
        </w:tc>
        <w:tc>
          <w:tcPr>
            <w:tcW w:w="935" w:type="dxa"/>
            <w:vMerge w:val="continue"/>
            <w:vAlign w:val="center"/>
          </w:tcPr>
          <w:p w14:paraId="04E428C6">
            <w:pPr>
              <w:adjustRightInd w:val="0"/>
              <w:snapToGrid w:val="0"/>
              <w:rPr>
                <w:rFonts w:asciiTheme="majorEastAsia" w:hAnsiTheme="majorEastAsia" w:eastAsiaTheme="majorEastAsia"/>
                <w:b/>
                <w:sz w:val="24"/>
                <w:szCs w:val="21"/>
              </w:rPr>
            </w:pPr>
          </w:p>
        </w:tc>
        <w:tc>
          <w:tcPr>
            <w:tcW w:w="7564" w:type="dxa"/>
            <w:gridSpan w:val="2"/>
            <w:shd w:val="clear" w:color="auto" w:fill="FFFFFF" w:themeFill="background1"/>
          </w:tcPr>
          <w:p w14:paraId="3FFCF052">
            <w:pPr>
              <w:widowControl/>
              <w:textAlignment w:val="center"/>
              <w:rPr>
                <w:rFonts w:asciiTheme="minorEastAsia" w:hAnsiTheme="minorEastAsia" w:eastAsiaTheme="minorEastAsia"/>
                <w:szCs w:val="21"/>
              </w:rPr>
            </w:pPr>
            <w:r>
              <w:rPr>
                <w:rFonts w:asciiTheme="minorEastAsia" w:hAnsiTheme="minorEastAsia" w:eastAsiaTheme="minorEastAsia"/>
                <w:szCs w:val="21"/>
              </w:rPr>
              <w:t>3.6</w:t>
            </w:r>
            <w:r>
              <w:rPr>
                <w:rFonts w:hint="eastAsia" w:asciiTheme="minorEastAsia" w:hAnsiTheme="minorEastAsia" w:eastAsiaTheme="minorEastAsia"/>
                <w:szCs w:val="21"/>
              </w:rPr>
              <w:t xml:space="preserve"> SAA线性范围：</w:t>
            </w:r>
            <w:r>
              <w:rPr>
                <w:rFonts w:asciiTheme="minorEastAsia" w:hAnsiTheme="minorEastAsia" w:eastAsiaTheme="minorEastAsia"/>
                <w:szCs w:val="21"/>
              </w:rPr>
              <w:t>5~320</w:t>
            </w:r>
            <w:r>
              <w:rPr>
                <w:rFonts w:hint="eastAsia" w:asciiTheme="minorEastAsia" w:hAnsiTheme="minorEastAsia" w:eastAsiaTheme="minorEastAsia"/>
                <w:szCs w:val="21"/>
              </w:rPr>
              <w:t xml:space="preserve"> </w:t>
            </w:r>
            <w:r>
              <w:rPr>
                <w:rFonts w:asciiTheme="minorEastAsia" w:hAnsiTheme="minorEastAsia" w:eastAsiaTheme="minorEastAsia"/>
                <w:szCs w:val="21"/>
              </w:rPr>
              <w:t>mg/L</w:t>
            </w:r>
            <w:r>
              <w:rPr>
                <w:rFonts w:hint="eastAsia" w:asciiTheme="minorEastAsia" w:hAnsiTheme="minorEastAsia" w:eastAsiaTheme="minorEastAsia"/>
                <w:szCs w:val="21"/>
              </w:rPr>
              <w:t>（以产品说明书为准）</w:t>
            </w:r>
          </w:p>
        </w:tc>
        <w:tc>
          <w:tcPr>
            <w:tcW w:w="817" w:type="dxa"/>
            <w:shd w:val="clear" w:color="auto" w:fill="FFFFFF" w:themeFill="background1"/>
          </w:tcPr>
          <w:p w14:paraId="659C6310">
            <w:pPr>
              <w:adjustRightInd w:val="0"/>
              <w:snapToGrid w:val="0"/>
              <w:rPr>
                <w:rFonts w:asciiTheme="minorEastAsia" w:hAnsiTheme="minorEastAsia" w:eastAsiaTheme="minorEastAsia"/>
                <w:b/>
                <w:szCs w:val="21"/>
              </w:rPr>
            </w:pPr>
          </w:p>
        </w:tc>
      </w:tr>
      <w:tr w14:paraId="386E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restart"/>
            <w:vAlign w:val="center"/>
          </w:tcPr>
          <w:p w14:paraId="0163C18F">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4</w:t>
            </w:r>
          </w:p>
        </w:tc>
        <w:tc>
          <w:tcPr>
            <w:tcW w:w="935" w:type="dxa"/>
            <w:vMerge w:val="restart"/>
            <w:vAlign w:val="center"/>
          </w:tcPr>
          <w:p w14:paraId="6B054DB5">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推片染色机</w:t>
            </w:r>
          </w:p>
        </w:tc>
        <w:tc>
          <w:tcPr>
            <w:tcW w:w="7564" w:type="dxa"/>
            <w:gridSpan w:val="2"/>
            <w:shd w:val="clear" w:color="auto" w:fill="FFFFFF" w:themeFill="background1"/>
          </w:tcPr>
          <w:p w14:paraId="458312E3">
            <w:pPr>
              <w:widowControl/>
              <w:textAlignment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.1</w:t>
            </w:r>
            <w:r>
              <w:rPr>
                <w:rFonts w:hint="eastAsia" w:asciiTheme="minorEastAsia" w:hAnsiTheme="minorEastAsia" w:eastAsiaTheme="minorEastAsia"/>
                <w:szCs w:val="21"/>
              </w:rPr>
              <w:t>全自动推片染色机需与血液细胞分析仪检测结果兼容。</w:t>
            </w:r>
          </w:p>
        </w:tc>
        <w:tc>
          <w:tcPr>
            <w:tcW w:w="817" w:type="dxa"/>
            <w:shd w:val="clear" w:color="auto" w:fill="FFFFFF" w:themeFill="background1"/>
          </w:tcPr>
          <w:p w14:paraId="507876B0">
            <w:pPr>
              <w:adjustRightInd w:val="0"/>
              <w:snapToGrid w:val="0"/>
              <w:rPr>
                <w:rFonts w:asciiTheme="minorEastAsia" w:hAnsiTheme="minorEastAsia" w:eastAsiaTheme="minorEastAsia"/>
                <w:b/>
                <w:szCs w:val="21"/>
              </w:rPr>
            </w:pPr>
          </w:p>
        </w:tc>
      </w:tr>
      <w:tr w14:paraId="046AB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vAlign w:val="center"/>
          </w:tcPr>
          <w:p w14:paraId="7661731F">
            <w:pPr>
              <w:adjustRightInd w:val="0"/>
              <w:snapToGrid w:val="0"/>
              <w:rPr>
                <w:rFonts w:asciiTheme="majorEastAsia" w:hAnsiTheme="majorEastAsia" w:eastAsiaTheme="majorEastAsia"/>
                <w:b/>
                <w:sz w:val="24"/>
                <w:szCs w:val="21"/>
              </w:rPr>
            </w:pPr>
          </w:p>
        </w:tc>
        <w:tc>
          <w:tcPr>
            <w:tcW w:w="935" w:type="dxa"/>
            <w:vMerge w:val="continue"/>
            <w:vAlign w:val="center"/>
          </w:tcPr>
          <w:p w14:paraId="138A5C0F">
            <w:pPr>
              <w:adjustRightInd w:val="0"/>
              <w:snapToGrid w:val="0"/>
              <w:rPr>
                <w:rFonts w:asciiTheme="majorEastAsia" w:hAnsiTheme="majorEastAsia" w:eastAsiaTheme="majorEastAsia"/>
                <w:b/>
                <w:sz w:val="24"/>
                <w:szCs w:val="21"/>
              </w:rPr>
            </w:pPr>
          </w:p>
        </w:tc>
        <w:tc>
          <w:tcPr>
            <w:tcW w:w="7564" w:type="dxa"/>
            <w:gridSpan w:val="2"/>
            <w:shd w:val="clear" w:color="auto" w:fill="FFFFFF" w:themeFill="background1"/>
          </w:tcPr>
          <w:p w14:paraId="3DFA5F3A">
            <w:pPr>
              <w:widowControl/>
              <w:textAlignment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.2</w:t>
            </w:r>
            <w:r>
              <w:rPr>
                <w:rFonts w:hint="eastAsia" w:asciiTheme="minorEastAsia" w:hAnsiTheme="minorEastAsia" w:eastAsiaTheme="minorEastAsia"/>
                <w:szCs w:val="21"/>
              </w:rPr>
              <w:t>流水线上单台</w:t>
            </w:r>
            <w:r>
              <w:rPr>
                <w:rFonts w:asciiTheme="minorEastAsia" w:hAnsiTheme="minorEastAsia" w:eastAsiaTheme="minorEastAsia"/>
                <w:szCs w:val="21"/>
              </w:rPr>
              <w:t>自动推片染色</w:t>
            </w:r>
            <w:r>
              <w:rPr>
                <w:rFonts w:hint="eastAsia" w:asciiTheme="minorEastAsia" w:hAnsiTheme="minorEastAsia" w:eastAsiaTheme="minorEastAsia"/>
                <w:szCs w:val="21"/>
              </w:rPr>
              <w:t>综合</w:t>
            </w:r>
            <w:r>
              <w:rPr>
                <w:rFonts w:asciiTheme="minorEastAsia" w:hAnsiTheme="minorEastAsia" w:eastAsiaTheme="minorEastAsia"/>
                <w:szCs w:val="21"/>
              </w:rPr>
              <w:t>速度≥120个样本/小时</w:t>
            </w:r>
            <w:r>
              <w:rPr>
                <w:rFonts w:hint="eastAsia" w:asciiTheme="minorEastAsia" w:hAnsiTheme="minorEastAsia" w:eastAsiaTheme="minorEastAsia"/>
                <w:szCs w:val="21"/>
              </w:rPr>
              <w:t>（每个样本均需完成推片及染色）</w:t>
            </w:r>
          </w:p>
        </w:tc>
        <w:tc>
          <w:tcPr>
            <w:tcW w:w="817" w:type="dxa"/>
            <w:shd w:val="clear" w:color="auto" w:fill="FFFFFF" w:themeFill="background1"/>
          </w:tcPr>
          <w:p w14:paraId="4923FB41">
            <w:pPr>
              <w:adjustRightInd w:val="0"/>
              <w:snapToGrid w:val="0"/>
              <w:rPr>
                <w:rFonts w:asciiTheme="minorEastAsia" w:hAnsiTheme="minorEastAsia" w:eastAsiaTheme="minorEastAsia"/>
                <w:b/>
                <w:szCs w:val="21"/>
              </w:rPr>
            </w:pPr>
          </w:p>
        </w:tc>
      </w:tr>
      <w:tr w14:paraId="4A83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vAlign w:val="center"/>
          </w:tcPr>
          <w:p w14:paraId="0CC27F0B">
            <w:pPr>
              <w:adjustRightInd w:val="0"/>
              <w:snapToGrid w:val="0"/>
              <w:rPr>
                <w:rFonts w:asciiTheme="majorEastAsia" w:hAnsiTheme="majorEastAsia" w:eastAsiaTheme="majorEastAsia"/>
                <w:b/>
                <w:sz w:val="24"/>
                <w:szCs w:val="21"/>
              </w:rPr>
            </w:pPr>
          </w:p>
        </w:tc>
        <w:tc>
          <w:tcPr>
            <w:tcW w:w="935" w:type="dxa"/>
            <w:vMerge w:val="continue"/>
            <w:vAlign w:val="center"/>
          </w:tcPr>
          <w:p w14:paraId="1C9086AA">
            <w:pPr>
              <w:adjustRightInd w:val="0"/>
              <w:snapToGrid w:val="0"/>
              <w:rPr>
                <w:rFonts w:asciiTheme="majorEastAsia" w:hAnsiTheme="majorEastAsia" w:eastAsiaTheme="majorEastAsia"/>
                <w:b/>
                <w:sz w:val="24"/>
                <w:szCs w:val="21"/>
              </w:rPr>
            </w:pPr>
          </w:p>
        </w:tc>
        <w:tc>
          <w:tcPr>
            <w:tcW w:w="7564" w:type="dxa"/>
            <w:gridSpan w:val="2"/>
            <w:shd w:val="clear" w:color="auto" w:fill="FFFFFF" w:themeFill="background1"/>
          </w:tcPr>
          <w:p w14:paraId="6F8AEE0A">
            <w:pPr>
              <w:widowControl/>
              <w:textAlignment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w:t>
            </w:r>
            <w:r>
              <w:rPr>
                <w:rFonts w:hint="eastAsia" w:asciiTheme="minorEastAsia" w:hAnsiTheme="minorEastAsia" w:eastAsiaTheme="minorEastAsia"/>
                <w:szCs w:val="21"/>
              </w:rPr>
              <w:t xml:space="preserve">3 </w:t>
            </w:r>
            <w:r>
              <w:rPr>
                <w:rFonts w:asciiTheme="minorEastAsia" w:hAnsiTheme="minorEastAsia" w:eastAsiaTheme="minorEastAsia"/>
                <w:szCs w:val="21"/>
              </w:rPr>
              <w:t>推片所需</w:t>
            </w:r>
            <w:r>
              <w:rPr>
                <w:rFonts w:hint="eastAsia" w:asciiTheme="minorEastAsia" w:hAnsiTheme="minorEastAsia" w:eastAsiaTheme="minorEastAsia"/>
                <w:szCs w:val="21"/>
              </w:rPr>
              <w:t>最小</w:t>
            </w:r>
            <w:r>
              <w:rPr>
                <w:rFonts w:asciiTheme="minorEastAsia" w:hAnsiTheme="minorEastAsia" w:eastAsiaTheme="minorEastAsia"/>
                <w:szCs w:val="21"/>
              </w:rPr>
              <w:t>样本量≤38μl</w:t>
            </w:r>
            <w:r>
              <w:rPr>
                <w:rFonts w:hint="eastAsia" w:asciiTheme="minorEastAsia" w:hAnsiTheme="minorEastAsia" w:eastAsiaTheme="minorEastAsia"/>
                <w:szCs w:val="21"/>
              </w:rPr>
              <w:t>（以产品说明书为准）</w:t>
            </w:r>
          </w:p>
        </w:tc>
        <w:tc>
          <w:tcPr>
            <w:tcW w:w="817" w:type="dxa"/>
            <w:shd w:val="clear" w:color="auto" w:fill="FFFFFF" w:themeFill="background1"/>
          </w:tcPr>
          <w:p w14:paraId="3FDADE02">
            <w:pPr>
              <w:adjustRightInd w:val="0"/>
              <w:snapToGrid w:val="0"/>
              <w:rPr>
                <w:rFonts w:asciiTheme="minorEastAsia" w:hAnsiTheme="minorEastAsia" w:eastAsiaTheme="minorEastAsia"/>
                <w:b/>
                <w:szCs w:val="21"/>
              </w:rPr>
            </w:pPr>
          </w:p>
        </w:tc>
      </w:tr>
      <w:tr w14:paraId="74C07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vAlign w:val="center"/>
          </w:tcPr>
          <w:p w14:paraId="3D73E68A">
            <w:pPr>
              <w:adjustRightInd w:val="0"/>
              <w:snapToGrid w:val="0"/>
              <w:rPr>
                <w:rFonts w:asciiTheme="majorEastAsia" w:hAnsiTheme="majorEastAsia" w:eastAsiaTheme="majorEastAsia"/>
                <w:b/>
                <w:sz w:val="24"/>
                <w:szCs w:val="21"/>
              </w:rPr>
            </w:pPr>
          </w:p>
        </w:tc>
        <w:tc>
          <w:tcPr>
            <w:tcW w:w="935" w:type="dxa"/>
            <w:vMerge w:val="continue"/>
            <w:vAlign w:val="center"/>
          </w:tcPr>
          <w:p w14:paraId="22600231">
            <w:pPr>
              <w:adjustRightInd w:val="0"/>
              <w:snapToGrid w:val="0"/>
              <w:rPr>
                <w:rFonts w:asciiTheme="majorEastAsia" w:hAnsiTheme="majorEastAsia" w:eastAsiaTheme="majorEastAsia"/>
                <w:b/>
                <w:sz w:val="24"/>
                <w:szCs w:val="21"/>
              </w:rPr>
            </w:pPr>
          </w:p>
        </w:tc>
        <w:tc>
          <w:tcPr>
            <w:tcW w:w="7564" w:type="dxa"/>
            <w:gridSpan w:val="2"/>
            <w:shd w:val="clear" w:color="auto" w:fill="FFFFFF" w:themeFill="background1"/>
          </w:tcPr>
          <w:p w14:paraId="5840E545">
            <w:pPr>
              <w:widowControl/>
              <w:textAlignment w:val="center"/>
              <w:rPr>
                <w:rFonts w:asciiTheme="minorEastAsia" w:hAnsiTheme="minorEastAsia" w:eastAsiaTheme="minorEastAsia"/>
                <w:szCs w:val="21"/>
              </w:rPr>
            </w:pPr>
            <w:r>
              <w:rPr>
                <w:rFonts w:asciiTheme="minorEastAsia" w:hAnsiTheme="minorEastAsia" w:eastAsiaTheme="minorEastAsia"/>
                <w:szCs w:val="21"/>
              </w:rPr>
              <w:t>4.</w:t>
            </w:r>
            <w:r>
              <w:rPr>
                <w:rFonts w:hint="eastAsia" w:asciiTheme="minorEastAsia" w:hAnsiTheme="minorEastAsia" w:eastAsiaTheme="minorEastAsia"/>
                <w:szCs w:val="21"/>
              </w:rPr>
              <w:t>4宽度（即长度和深度中最大尺寸）≤1</w:t>
            </w:r>
            <w:r>
              <w:rPr>
                <w:rFonts w:asciiTheme="minorEastAsia" w:hAnsiTheme="minorEastAsia" w:eastAsiaTheme="minorEastAsia"/>
                <w:szCs w:val="21"/>
              </w:rPr>
              <w:t>.5</w:t>
            </w:r>
            <w:r>
              <w:rPr>
                <w:rFonts w:hint="eastAsia" w:asciiTheme="minorEastAsia" w:hAnsiTheme="minorEastAsia" w:eastAsiaTheme="minorEastAsia"/>
                <w:szCs w:val="21"/>
              </w:rPr>
              <w:t>米。</w:t>
            </w:r>
          </w:p>
        </w:tc>
        <w:tc>
          <w:tcPr>
            <w:tcW w:w="817" w:type="dxa"/>
            <w:shd w:val="clear" w:color="auto" w:fill="FFFFFF" w:themeFill="background1"/>
          </w:tcPr>
          <w:p w14:paraId="4CA86F3E">
            <w:pPr>
              <w:adjustRightInd w:val="0"/>
              <w:snapToGrid w:val="0"/>
              <w:rPr>
                <w:rFonts w:asciiTheme="minorEastAsia" w:hAnsiTheme="minorEastAsia" w:eastAsiaTheme="minorEastAsia"/>
                <w:b/>
                <w:szCs w:val="21"/>
              </w:rPr>
            </w:pPr>
          </w:p>
        </w:tc>
      </w:tr>
      <w:tr w14:paraId="7536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restart"/>
            <w:vAlign w:val="center"/>
          </w:tcPr>
          <w:p w14:paraId="69555DDD">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5</w:t>
            </w:r>
          </w:p>
        </w:tc>
        <w:tc>
          <w:tcPr>
            <w:tcW w:w="935" w:type="dxa"/>
            <w:vMerge w:val="restart"/>
            <w:vAlign w:val="center"/>
          </w:tcPr>
          <w:p w14:paraId="0AFEDC7A">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全自动细胞形态分析仪</w:t>
            </w:r>
          </w:p>
        </w:tc>
        <w:tc>
          <w:tcPr>
            <w:tcW w:w="7564" w:type="dxa"/>
            <w:gridSpan w:val="2"/>
            <w:shd w:val="clear" w:color="auto" w:fill="FFFFFF" w:themeFill="background1"/>
          </w:tcPr>
          <w:p w14:paraId="6E5CEB17">
            <w:pPr>
              <w:widowControl/>
              <w:textAlignment w:val="center"/>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.1</w:t>
            </w:r>
            <w:r>
              <w:rPr>
                <w:rFonts w:hint="eastAsia" w:asciiTheme="minorEastAsia" w:hAnsiTheme="minorEastAsia" w:eastAsiaTheme="minorEastAsia"/>
                <w:szCs w:val="21"/>
              </w:rPr>
              <w:t>全自动细胞形态学分析仪需与血液细胞分析仪检测结果兼容。</w:t>
            </w:r>
          </w:p>
        </w:tc>
        <w:tc>
          <w:tcPr>
            <w:tcW w:w="817" w:type="dxa"/>
            <w:shd w:val="clear" w:color="auto" w:fill="FFFFFF" w:themeFill="background1"/>
          </w:tcPr>
          <w:p w14:paraId="7DB3C916">
            <w:pPr>
              <w:adjustRightInd w:val="0"/>
              <w:snapToGrid w:val="0"/>
              <w:rPr>
                <w:rFonts w:asciiTheme="minorEastAsia" w:hAnsiTheme="minorEastAsia" w:eastAsiaTheme="minorEastAsia"/>
                <w:b/>
                <w:szCs w:val="21"/>
              </w:rPr>
            </w:pPr>
          </w:p>
        </w:tc>
      </w:tr>
      <w:tr w14:paraId="26828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415CAB53">
            <w:pPr>
              <w:adjustRightInd w:val="0"/>
              <w:snapToGrid w:val="0"/>
              <w:rPr>
                <w:rFonts w:asciiTheme="majorEastAsia" w:hAnsiTheme="majorEastAsia" w:eastAsiaTheme="majorEastAsia"/>
                <w:b/>
                <w:sz w:val="24"/>
                <w:szCs w:val="21"/>
              </w:rPr>
            </w:pPr>
          </w:p>
        </w:tc>
        <w:tc>
          <w:tcPr>
            <w:tcW w:w="935" w:type="dxa"/>
            <w:vMerge w:val="continue"/>
          </w:tcPr>
          <w:p w14:paraId="1B255836">
            <w:pPr>
              <w:adjustRightInd w:val="0"/>
              <w:snapToGrid w:val="0"/>
              <w:rPr>
                <w:rFonts w:asciiTheme="majorEastAsia" w:hAnsiTheme="majorEastAsia" w:eastAsiaTheme="majorEastAsia"/>
                <w:b/>
                <w:sz w:val="24"/>
                <w:szCs w:val="21"/>
              </w:rPr>
            </w:pPr>
          </w:p>
        </w:tc>
        <w:tc>
          <w:tcPr>
            <w:tcW w:w="7564" w:type="dxa"/>
            <w:gridSpan w:val="2"/>
            <w:shd w:val="clear" w:color="auto" w:fill="FFFFFF" w:themeFill="background1"/>
          </w:tcPr>
          <w:p w14:paraId="02B5C6EB">
            <w:pPr>
              <w:widowControl/>
              <w:textAlignment w:val="center"/>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.2</w:t>
            </w:r>
            <w:r>
              <w:rPr>
                <w:rFonts w:hint="eastAsia" w:asciiTheme="minorEastAsia" w:hAnsiTheme="minorEastAsia" w:eastAsiaTheme="minorEastAsia"/>
                <w:szCs w:val="21"/>
              </w:rPr>
              <w:t>适用范围：用于对外周血涂片血细胞的形态图像摄取、可视化观察及描述，包括白细胞单细胞图像摄取、初步分类，红细胞形态描述及血小板数目估算。</w:t>
            </w:r>
          </w:p>
        </w:tc>
        <w:tc>
          <w:tcPr>
            <w:tcW w:w="817" w:type="dxa"/>
            <w:shd w:val="clear" w:color="auto" w:fill="FFFFFF" w:themeFill="background1"/>
          </w:tcPr>
          <w:p w14:paraId="129CDACC">
            <w:pPr>
              <w:adjustRightInd w:val="0"/>
              <w:snapToGrid w:val="0"/>
              <w:rPr>
                <w:rFonts w:asciiTheme="minorEastAsia" w:hAnsiTheme="minorEastAsia" w:eastAsiaTheme="minorEastAsia"/>
                <w:b/>
                <w:szCs w:val="21"/>
              </w:rPr>
            </w:pPr>
          </w:p>
        </w:tc>
      </w:tr>
      <w:tr w14:paraId="55AD3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727D415A">
            <w:pPr>
              <w:adjustRightInd w:val="0"/>
              <w:snapToGrid w:val="0"/>
              <w:rPr>
                <w:rFonts w:asciiTheme="majorEastAsia" w:hAnsiTheme="majorEastAsia" w:eastAsiaTheme="majorEastAsia"/>
                <w:b/>
                <w:sz w:val="24"/>
                <w:szCs w:val="21"/>
              </w:rPr>
            </w:pPr>
          </w:p>
        </w:tc>
        <w:tc>
          <w:tcPr>
            <w:tcW w:w="935" w:type="dxa"/>
            <w:vMerge w:val="continue"/>
          </w:tcPr>
          <w:p w14:paraId="4A410C1C">
            <w:pPr>
              <w:adjustRightInd w:val="0"/>
              <w:snapToGrid w:val="0"/>
              <w:rPr>
                <w:rFonts w:asciiTheme="majorEastAsia" w:hAnsiTheme="majorEastAsia" w:eastAsiaTheme="majorEastAsia"/>
                <w:b/>
                <w:sz w:val="24"/>
                <w:szCs w:val="21"/>
              </w:rPr>
            </w:pPr>
          </w:p>
        </w:tc>
        <w:tc>
          <w:tcPr>
            <w:tcW w:w="7564" w:type="dxa"/>
            <w:gridSpan w:val="2"/>
            <w:shd w:val="clear" w:color="auto" w:fill="FFFFFF" w:themeFill="background1"/>
          </w:tcPr>
          <w:p w14:paraId="3C7A7619">
            <w:pPr>
              <w:widowControl/>
              <w:textAlignment w:val="center"/>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w:t>
            </w:r>
            <w:r>
              <w:rPr>
                <w:rFonts w:hint="eastAsia" w:asciiTheme="minorEastAsia" w:hAnsiTheme="minorEastAsia" w:eastAsiaTheme="minorEastAsia"/>
                <w:szCs w:val="21"/>
              </w:rPr>
              <w:t>3软件界面可实现针对血小板聚集的报警的文字提示。</w:t>
            </w:r>
          </w:p>
        </w:tc>
        <w:tc>
          <w:tcPr>
            <w:tcW w:w="817" w:type="dxa"/>
            <w:shd w:val="clear" w:color="auto" w:fill="FFFFFF" w:themeFill="background1"/>
          </w:tcPr>
          <w:p w14:paraId="41117473">
            <w:pPr>
              <w:adjustRightInd w:val="0"/>
              <w:snapToGrid w:val="0"/>
              <w:rPr>
                <w:rFonts w:asciiTheme="minorEastAsia" w:hAnsiTheme="minorEastAsia" w:eastAsiaTheme="minorEastAsia"/>
                <w:b/>
                <w:szCs w:val="21"/>
              </w:rPr>
            </w:pPr>
          </w:p>
        </w:tc>
      </w:tr>
      <w:tr w14:paraId="205D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705781C7">
            <w:pPr>
              <w:adjustRightInd w:val="0"/>
              <w:snapToGrid w:val="0"/>
              <w:rPr>
                <w:rFonts w:asciiTheme="majorEastAsia" w:hAnsiTheme="majorEastAsia" w:eastAsiaTheme="majorEastAsia"/>
                <w:b/>
                <w:sz w:val="24"/>
                <w:szCs w:val="21"/>
              </w:rPr>
            </w:pPr>
          </w:p>
        </w:tc>
        <w:tc>
          <w:tcPr>
            <w:tcW w:w="935" w:type="dxa"/>
            <w:vMerge w:val="continue"/>
          </w:tcPr>
          <w:p w14:paraId="681A9784">
            <w:pPr>
              <w:adjustRightInd w:val="0"/>
              <w:snapToGrid w:val="0"/>
              <w:rPr>
                <w:rFonts w:asciiTheme="majorEastAsia" w:hAnsiTheme="majorEastAsia" w:eastAsiaTheme="majorEastAsia"/>
                <w:b/>
                <w:sz w:val="24"/>
                <w:szCs w:val="21"/>
              </w:rPr>
            </w:pPr>
          </w:p>
        </w:tc>
        <w:tc>
          <w:tcPr>
            <w:tcW w:w="7564" w:type="dxa"/>
            <w:gridSpan w:val="2"/>
            <w:shd w:val="clear" w:color="auto" w:fill="FFFFFF" w:themeFill="background1"/>
          </w:tcPr>
          <w:p w14:paraId="5F339644">
            <w:pPr>
              <w:widowControl/>
              <w:textAlignment w:val="center"/>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w:t>
            </w:r>
            <w:r>
              <w:rPr>
                <w:rFonts w:hint="eastAsia" w:asciiTheme="minorEastAsia" w:hAnsiTheme="minorEastAsia" w:eastAsiaTheme="minorEastAsia"/>
                <w:szCs w:val="21"/>
              </w:rPr>
              <w:t>4阅片机可对体液样本进行分析。</w:t>
            </w:r>
          </w:p>
        </w:tc>
        <w:tc>
          <w:tcPr>
            <w:tcW w:w="817" w:type="dxa"/>
            <w:shd w:val="clear" w:color="auto" w:fill="FFFFFF" w:themeFill="background1"/>
          </w:tcPr>
          <w:p w14:paraId="59189D72">
            <w:pPr>
              <w:adjustRightInd w:val="0"/>
              <w:snapToGrid w:val="0"/>
              <w:rPr>
                <w:rFonts w:asciiTheme="minorEastAsia" w:hAnsiTheme="minorEastAsia" w:eastAsiaTheme="minorEastAsia"/>
                <w:b/>
                <w:szCs w:val="21"/>
              </w:rPr>
            </w:pPr>
          </w:p>
        </w:tc>
      </w:tr>
      <w:tr w14:paraId="2783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restart"/>
            <w:vAlign w:val="center"/>
          </w:tcPr>
          <w:p w14:paraId="66B97B3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6</w:t>
            </w:r>
          </w:p>
        </w:tc>
        <w:tc>
          <w:tcPr>
            <w:tcW w:w="935" w:type="dxa"/>
            <w:vMerge w:val="restart"/>
            <w:vAlign w:val="center"/>
          </w:tcPr>
          <w:p w14:paraId="5FF4899E">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糖化血红蛋白分析仪</w:t>
            </w:r>
          </w:p>
        </w:tc>
        <w:tc>
          <w:tcPr>
            <w:tcW w:w="7564" w:type="dxa"/>
            <w:gridSpan w:val="2"/>
            <w:shd w:val="clear" w:color="auto" w:fill="FFFFFF" w:themeFill="background1"/>
          </w:tcPr>
          <w:p w14:paraId="66300C32">
            <w:pPr>
              <w:widowControl/>
              <w:textAlignment w:val="center"/>
              <w:rPr>
                <w:rFonts w:asciiTheme="minorEastAsia" w:hAnsiTheme="minorEastAsia" w:eastAsiaTheme="minorEastAsia"/>
                <w:szCs w:val="21"/>
              </w:rPr>
            </w:pPr>
            <w:r>
              <w:rPr>
                <w:rFonts w:hint="eastAsia" w:asciiTheme="minorEastAsia" w:hAnsiTheme="minorEastAsia" w:eastAsiaTheme="minorEastAsia"/>
                <w:szCs w:val="21"/>
              </w:rPr>
              <w:t>6</w:t>
            </w:r>
            <w:r>
              <w:rPr>
                <w:rFonts w:asciiTheme="minorEastAsia" w:hAnsiTheme="minorEastAsia" w:eastAsiaTheme="minorEastAsia"/>
                <w:szCs w:val="21"/>
              </w:rPr>
              <w:t>.1</w:t>
            </w:r>
            <w:r>
              <w:rPr>
                <w:rFonts w:hint="eastAsia" w:asciiTheme="minorEastAsia" w:hAnsiTheme="minorEastAsia" w:eastAsiaTheme="minorEastAsia"/>
                <w:szCs w:val="21"/>
              </w:rPr>
              <w:t>仪器检测原理需为高效液相色谱法（H</w:t>
            </w:r>
            <w:r>
              <w:rPr>
                <w:rFonts w:asciiTheme="minorEastAsia" w:hAnsiTheme="minorEastAsia" w:eastAsiaTheme="minorEastAsia"/>
                <w:szCs w:val="21"/>
              </w:rPr>
              <w:t>PLC</w:t>
            </w:r>
            <w:r>
              <w:rPr>
                <w:rFonts w:hint="eastAsia" w:asciiTheme="minorEastAsia" w:hAnsiTheme="minorEastAsia" w:eastAsiaTheme="minorEastAsia"/>
                <w:szCs w:val="21"/>
              </w:rPr>
              <w:t>）</w:t>
            </w:r>
          </w:p>
        </w:tc>
        <w:tc>
          <w:tcPr>
            <w:tcW w:w="817" w:type="dxa"/>
            <w:shd w:val="clear" w:color="auto" w:fill="FFFFFF" w:themeFill="background1"/>
          </w:tcPr>
          <w:p w14:paraId="7B10B244">
            <w:pPr>
              <w:adjustRightInd w:val="0"/>
              <w:snapToGrid w:val="0"/>
              <w:rPr>
                <w:rFonts w:asciiTheme="minorEastAsia" w:hAnsiTheme="minorEastAsia" w:eastAsiaTheme="minorEastAsia"/>
                <w:b/>
                <w:szCs w:val="21"/>
              </w:rPr>
            </w:pPr>
          </w:p>
        </w:tc>
      </w:tr>
      <w:tr w14:paraId="3601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31439A4B">
            <w:pPr>
              <w:adjustRightInd w:val="0"/>
              <w:snapToGrid w:val="0"/>
              <w:rPr>
                <w:rFonts w:asciiTheme="majorEastAsia" w:hAnsiTheme="majorEastAsia" w:eastAsiaTheme="majorEastAsia"/>
                <w:b/>
                <w:sz w:val="24"/>
                <w:szCs w:val="21"/>
              </w:rPr>
            </w:pPr>
          </w:p>
        </w:tc>
        <w:tc>
          <w:tcPr>
            <w:tcW w:w="935" w:type="dxa"/>
            <w:vMerge w:val="continue"/>
          </w:tcPr>
          <w:p w14:paraId="1F841874">
            <w:pPr>
              <w:adjustRightInd w:val="0"/>
              <w:snapToGrid w:val="0"/>
              <w:rPr>
                <w:rFonts w:asciiTheme="majorEastAsia" w:hAnsiTheme="majorEastAsia" w:eastAsiaTheme="majorEastAsia"/>
                <w:b/>
                <w:sz w:val="24"/>
                <w:szCs w:val="21"/>
              </w:rPr>
            </w:pPr>
          </w:p>
        </w:tc>
        <w:tc>
          <w:tcPr>
            <w:tcW w:w="7564" w:type="dxa"/>
            <w:gridSpan w:val="2"/>
            <w:shd w:val="clear" w:color="auto" w:fill="FFFFFF" w:themeFill="background1"/>
          </w:tcPr>
          <w:p w14:paraId="5BE361A1">
            <w:pPr>
              <w:widowControl/>
              <w:textAlignment w:val="center"/>
              <w:rPr>
                <w:rFonts w:asciiTheme="minorEastAsia" w:hAnsiTheme="minorEastAsia" w:eastAsiaTheme="minorEastAsia"/>
                <w:szCs w:val="21"/>
              </w:rPr>
            </w:pPr>
            <w:r>
              <w:rPr>
                <w:rFonts w:asciiTheme="minorEastAsia" w:hAnsiTheme="minorEastAsia" w:eastAsiaTheme="minorEastAsia"/>
                <w:szCs w:val="21"/>
              </w:rPr>
              <w:t>6.2</w:t>
            </w:r>
            <w:r>
              <w:rPr>
                <w:rFonts w:hint="eastAsia" w:asciiTheme="minorEastAsia" w:hAnsiTheme="minorEastAsia" w:eastAsiaTheme="minorEastAsia"/>
                <w:szCs w:val="21"/>
              </w:rPr>
              <w:t>仪器能有效分离中国常见变异体HbS、Hbc、HbD、HbE，且无需额外使用变异体层析柱。</w:t>
            </w:r>
          </w:p>
        </w:tc>
        <w:tc>
          <w:tcPr>
            <w:tcW w:w="817" w:type="dxa"/>
            <w:shd w:val="clear" w:color="auto" w:fill="FFFFFF" w:themeFill="background1"/>
          </w:tcPr>
          <w:p w14:paraId="4EE82A2B">
            <w:pPr>
              <w:adjustRightInd w:val="0"/>
              <w:snapToGrid w:val="0"/>
              <w:rPr>
                <w:rFonts w:asciiTheme="minorEastAsia" w:hAnsiTheme="minorEastAsia" w:eastAsiaTheme="minorEastAsia"/>
                <w:b/>
                <w:szCs w:val="21"/>
              </w:rPr>
            </w:pPr>
          </w:p>
        </w:tc>
      </w:tr>
      <w:tr w14:paraId="11200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06357910">
            <w:pPr>
              <w:adjustRightInd w:val="0"/>
              <w:snapToGrid w:val="0"/>
              <w:rPr>
                <w:rFonts w:asciiTheme="majorEastAsia" w:hAnsiTheme="majorEastAsia" w:eastAsiaTheme="majorEastAsia"/>
                <w:b/>
                <w:sz w:val="24"/>
                <w:szCs w:val="21"/>
              </w:rPr>
            </w:pPr>
          </w:p>
        </w:tc>
        <w:tc>
          <w:tcPr>
            <w:tcW w:w="935" w:type="dxa"/>
            <w:vMerge w:val="continue"/>
          </w:tcPr>
          <w:p w14:paraId="5D1E2060">
            <w:pPr>
              <w:adjustRightInd w:val="0"/>
              <w:snapToGrid w:val="0"/>
              <w:rPr>
                <w:rFonts w:asciiTheme="majorEastAsia" w:hAnsiTheme="majorEastAsia" w:eastAsiaTheme="majorEastAsia"/>
                <w:b/>
                <w:sz w:val="24"/>
                <w:szCs w:val="21"/>
              </w:rPr>
            </w:pPr>
          </w:p>
        </w:tc>
        <w:tc>
          <w:tcPr>
            <w:tcW w:w="7564" w:type="dxa"/>
            <w:gridSpan w:val="2"/>
            <w:shd w:val="clear" w:color="auto" w:fill="FFFFFF" w:themeFill="background1"/>
          </w:tcPr>
          <w:p w14:paraId="25EA5DC7">
            <w:pPr>
              <w:widowControl/>
              <w:textAlignment w:val="center"/>
              <w:rPr>
                <w:rFonts w:asciiTheme="minorEastAsia" w:hAnsiTheme="minorEastAsia" w:eastAsiaTheme="minorEastAsia"/>
                <w:szCs w:val="21"/>
              </w:rPr>
            </w:pPr>
            <w:r>
              <w:rPr>
                <w:rFonts w:asciiTheme="minorEastAsia" w:hAnsiTheme="minorEastAsia" w:eastAsiaTheme="minorEastAsia"/>
                <w:szCs w:val="21"/>
              </w:rPr>
              <w:t>6.3</w:t>
            </w:r>
            <w:r>
              <w:rPr>
                <w:rFonts w:hint="eastAsia" w:asciiTheme="minorEastAsia" w:hAnsiTheme="minorEastAsia" w:eastAsiaTheme="minorEastAsia"/>
                <w:szCs w:val="21"/>
              </w:rPr>
              <w:t>糖化血红蛋白分析仪测试速度≥</w:t>
            </w:r>
            <w:r>
              <w:rPr>
                <w:rFonts w:asciiTheme="minorEastAsia" w:hAnsiTheme="minorEastAsia" w:eastAsiaTheme="minorEastAsia"/>
                <w:szCs w:val="21"/>
              </w:rPr>
              <w:t>120</w:t>
            </w:r>
            <w:r>
              <w:rPr>
                <w:rFonts w:hint="eastAsia" w:asciiTheme="minorEastAsia" w:hAnsiTheme="minorEastAsia" w:eastAsiaTheme="minorEastAsia"/>
                <w:szCs w:val="21"/>
              </w:rPr>
              <w:t>个样本/小时。</w:t>
            </w:r>
          </w:p>
        </w:tc>
        <w:tc>
          <w:tcPr>
            <w:tcW w:w="817" w:type="dxa"/>
            <w:shd w:val="clear" w:color="auto" w:fill="FFFFFF" w:themeFill="background1"/>
          </w:tcPr>
          <w:p w14:paraId="20CCB047">
            <w:pPr>
              <w:adjustRightInd w:val="0"/>
              <w:snapToGrid w:val="0"/>
              <w:rPr>
                <w:rFonts w:asciiTheme="minorEastAsia" w:hAnsiTheme="minorEastAsia" w:eastAsiaTheme="minorEastAsia"/>
                <w:b/>
                <w:szCs w:val="21"/>
              </w:rPr>
            </w:pPr>
            <w:bookmarkStart w:id="0" w:name="_GoBack"/>
            <w:bookmarkEnd w:id="0"/>
          </w:p>
        </w:tc>
      </w:tr>
      <w:tr w14:paraId="33627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shd w:val="clear" w:color="auto" w:fill="auto"/>
          </w:tcPr>
          <w:p w14:paraId="5BD36147">
            <w:pPr>
              <w:adjustRightInd w:val="0"/>
              <w:snapToGrid w:val="0"/>
              <w:rPr>
                <w:rFonts w:asciiTheme="majorEastAsia" w:hAnsiTheme="majorEastAsia" w:eastAsiaTheme="majorEastAsia"/>
                <w:b/>
                <w:sz w:val="24"/>
                <w:szCs w:val="21"/>
              </w:rPr>
            </w:pPr>
          </w:p>
        </w:tc>
        <w:tc>
          <w:tcPr>
            <w:tcW w:w="935" w:type="dxa"/>
            <w:vMerge w:val="continue"/>
          </w:tcPr>
          <w:p w14:paraId="74AD799B">
            <w:pPr>
              <w:adjustRightInd w:val="0"/>
              <w:snapToGrid w:val="0"/>
              <w:rPr>
                <w:rFonts w:asciiTheme="majorEastAsia" w:hAnsiTheme="majorEastAsia" w:eastAsiaTheme="majorEastAsia"/>
                <w:b/>
                <w:sz w:val="24"/>
                <w:szCs w:val="21"/>
              </w:rPr>
            </w:pPr>
          </w:p>
        </w:tc>
        <w:tc>
          <w:tcPr>
            <w:tcW w:w="7564" w:type="dxa"/>
            <w:gridSpan w:val="2"/>
            <w:shd w:val="clear" w:color="auto" w:fill="FFFFFF" w:themeFill="background1"/>
          </w:tcPr>
          <w:p w14:paraId="18C1FA95">
            <w:pPr>
              <w:widowControl/>
              <w:textAlignment w:val="center"/>
              <w:rPr>
                <w:rFonts w:asciiTheme="minorEastAsia" w:hAnsiTheme="minorEastAsia" w:eastAsiaTheme="minorEastAsia"/>
                <w:szCs w:val="21"/>
              </w:rPr>
            </w:pPr>
            <w:r>
              <w:rPr>
                <w:rFonts w:hint="eastAsia" w:asciiTheme="minorEastAsia" w:hAnsiTheme="minorEastAsia" w:eastAsiaTheme="minorEastAsia"/>
                <w:szCs w:val="21"/>
              </w:rPr>
              <w:t>6</w:t>
            </w:r>
            <w:r>
              <w:rPr>
                <w:rFonts w:asciiTheme="minorEastAsia" w:hAnsiTheme="minorEastAsia" w:eastAsiaTheme="minorEastAsia"/>
                <w:szCs w:val="21"/>
              </w:rPr>
              <w:t>.4</w:t>
            </w:r>
            <w:r>
              <w:rPr>
                <w:rFonts w:hint="eastAsia" w:asciiTheme="minorEastAsia" w:hAnsiTheme="minorEastAsia" w:eastAsiaTheme="minorEastAsia"/>
                <w:szCs w:val="21"/>
              </w:rPr>
              <w:t>糖化血红蛋白模块线性要求需覆盖 3-20%区间。</w:t>
            </w:r>
          </w:p>
        </w:tc>
        <w:tc>
          <w:tcPr>
            <w:tcW w:w="817" w:type="dxa"/>
            <w:shd w:val="clear" w:color="auto" w:fill="FFFFFF" w:themeFill="background1"/>
          </w:tcPr>
          <w:p w14:paraId="0F9D2042">
            <w:pPr>
              <w:adjustRightInd w:val="0"/>
              <w:snapToGrid w:val="0"/>
              <w:rPr>
                <w:rFonts w:asciiTheme="minorEastAsia" w:hAnsiTheme="minorEastAsia" w:eastAsiaTheme="minorEastAsia"/>
                <w:b/>
                <w:szCs w:val="21"/>
              </w:rPr>
            </w:pPr>
          </w:p>
        </w:tc>
      </w:tr>
      <w:tr w14:paraId="1A009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26" w:type="dxa"/>
            <w:gridSpan w:val="5"/>
          </w:tcPr>
          <w:p w14:paraId="2F81A38A">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8"/>
                <w:szCs w:val="21"/>
              </w:rPr>
              <w:t>二、</w:t>
            </w:r>
            <w:r>
              <w:rPr>
                <w:rFonts w:hint="eastAsia" w:cs="宋体" w:asciiTheme="majorEastAsia" w:hAnsiTheme="majorEastAsia" w:eastAsiaTheme="majorEastAsia"/>
                <w:sz w:val="24"/>
              </w:rPr>
              <w:t>★</w:t>
            </w:r>
            <w:r>
              <w:rPr>
                <w:rFonts w:hint="eastAsia" w:asciiTheme="majorEastAsia" w:hAnsiTheme="majorEastAsia" w:eastAsiaTheme="majorEastAsia"/>
                <w:b/>
                <w:sz w:val="28"/>
                <w:szCs w:val="21"/>
              </w:rPr>
              <w:t>商务需求</w:t>
            </w:r>
          </w:p>
        </w:tc>
      </w:tr>
      <w:tr w14:paraId="48B8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5" w:type="dxa"/>
            <w:gridSpan w:val="3"/>
          </w:tcPr>
          <w:p w14:paraId="19E64F47">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8261" w:type="dxa"/>
            <w:gridSpan w:val="2"/>
            <w:shd w:val="clear" w:color="auto" w:fill="FFFFFF" w:themeFill="background1"/>
          </w:tcPr>
          <w:p w14:paraId="1F32426F">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合同签订后并接采购人通知</w:t>
            </w:r>
            <w:r>
              <w:rPr>
                <w:rFonts w:hint="eastAsia" w:asciiTheme="majorEastAsia" w:hAnsiTheme="majorEastAsia" w:eastAsiaTheme="majorEastAsia"/>
                <w:b/>
                <w:sz w:val="24"/>
                <w:szCs w:val="21"/>
                <w:highlight w:val="yellow"/>
                <w:u w:val="single"/>
              </w:rPr>
              <w:t xml:space="preserve"> 30 </w:t>
            </w:r>
            <w:r>
              <w:rPr>
                <w:rFonts w:hint="eastAsia" w:asciiTheme="majorEastAsia" w:hAnsiTheme="majorEastAsia" w:eastAsiaTheme="majorEastAsia"/>
                <w:b/>
                <w:sz w:val="24"/>
                <w:szCs w:val="21"/>
                <w:highlight w:val="yellow"/>
              </w:rPr>
              <w:t>日历日内。</w:t>
            </w:r>
          </w:p>
        </w:tc>
      </w:tr>
      <w:tr w14:paraId="52CE3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5" w:type="dxa"/>
            <w:gridSpan w:val="3"/>
          </w:tcPr>
          <w:p w14:paraId="2C1411E3">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8261" w:type="dxa"/>
            <w:gridSpan w:val="2"/>
            <w:shd w:val="clear" w:color="auto" w:fill="FFFFFF" w:themeFill="background1"/>
          </w:tcPr>
          <w:p w14:paraId="49A115F2">
            <w:pPr>
              <w:adjustRightInd w:val="0"/>
              <w:snapToGrid w:val="0"/>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r>
      <w:tr w14:paraId="19ED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5" w:type="dxa"/>
            <w:gridSpan w:val="3"/>
          </w:tcPr>
          <w:p w14:paraId="7D923B24">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8261" w:type="dxa"/>
            <w:gridSpan w:val="2"/>
            <w:shd w:val="clear" w:color="auto" w:fill="FFFFFF" w:themeFill="background1"/>
          </w:tcPr>
          <w:p w14:paraId="52DBB825">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14:paraId="7764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5" w:type="dxa"/>
            <w:gridSpan w:val="3"/>
          </w:tcPr>
          <w:p w14:paraId="728E6321">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8261" w:type="dxa"/>
            <w:gridSpan w:val="2"/>
            <w:shd w:val="clear" w:color="auto" w:fill="FFFFFF" w:themeFill="background1"/>
          </w:tcPr>
          <w:p w14:paraId="45116661">
            <w:pPr>
              <w:adjustRightInd w:val="0"/>
              <w:snapToGrid w:val="0"/>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合同总价≥3万付款方式：</w:t>
            </w:r>
          </w:p>
          <w:p w14:paraId="47916C22">
            <w:pPr>
              <w:adjustRightInd w:val="0"/>
              <w:snapToGrid w:val="0"/>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合同签订后三个工作日内，中标人将采购合同总价5%的履约保证金汇入采购人指定账户。货到清点、安装调试验收合格正常使用后，出具全额发票，采购人凭中标人提供的完整资料，自发票到达采购人财务之日起10个工作日内，支付100%合同货款到中标人指定账户。</w:t>
            </w:r>
          </w:p>
          <w:p w14:paraId="30EE2679">
            <w:pPr>
              <w:adjustRightInd w:val="0"/>
              <w:snapToGrid w:val="0"/>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中标人向采购人支付合同总价5%的履约保证金，用于补偿采购人因中标人不履行/不妥善履行合同约定义务而蒙受的损失，如中标人不履行/不妥善履行合同约定义务的，采购人有权直接从履约保证金中扣除相应违约金/损失赔偿款项。如果在合同签订后至中标人履行完毕合同约定义务事项期间未发生中标人不履行或不妥善履行合同约定义务的情况，在中标人履行完毕合同约定义务事项后，中标人向采购人提供完整资料到达采购人财务之日起10个工作日内，采购人将履约保证金无息返还给中标人。</w:t>
            </w:r>
          </w:p>
          <w:p w14:paraId="3B46CCCB">
            <w:pPr>
              <w:adjustRightInd w:val="0"/>
              <w:snapToGrid w:val="0"/>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合同总价＜3万付款方式：</w:t>
            </w:r>
          </w:p>
          <w:p w14:paraId="4966405B">
            <w:pPr>
              <w:adjustRightInd w:val="0"/>
              <w:snapToGrid w:val="0"/>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货到清点、安装调试验收合格正常使用后，出具全额发票，采购人凭中标人提供的完整资料，自发票到达采购人财务之日起10个工作日内，支付100%合同货款到中标人指定账户。</w:t>
            </w:r>
          </w:p>
        </w:tc>
      </w:tr>
      <w:tr w14:paraId="2E88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5" w:type="dxa"/>
            <w:gridSpan w:val="3"/>
          </w:tcPr>
          <w:p w14:paraId="11FC0E4D">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8261" w:type="dxa"/>
            <w:gridSpan w:val="2"/>
          </w:tcPr>
          <w:p w14:paraId="56BA980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维护手册（含维修密码及接口数据）等维护维修必需的材料和信息。所有外文资料需提供中文译本。文件应随货物一并交付至采购人指定地点。</w:t>
            </w:r>
          </w:p>
          <w:p w14:paraId="48C42AF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color w:val="auto"/>
                <w:szCs w:val="21"/>
              </w:rPr>
              <w:t>5.2提供的货物必须为全新货物，出厂日期</w:t>
            </w:r>
            <w:r>
              <w:rPr>
                <w:rFonts w:hint="eastAsia" w:ascii="宋体" w:hAnsi="宋体"/>
                <w:color w:val="auto"/>
                <w:szCs w:val="21"/>
              </w:rPr>
              <w:t>原则上</w:t>
            </w:r>
            <w:r>
              <w:rPr>
                <w:rFonts w:hint="eastAsia" w:asciiTheme="minorEastAsia" w:hAnsiTheme="minorEastAsia" w:eastAsiaTheme="minorEastAsia"/>
                <w:bCs/>
                <w:color w:val="auto"/>
                <w:szCs w:val="21"/>
              </w:rPr>
              <w:t>在采购人收到日期前</w:t>
            </w:r>
            <w:r>
              <w:rPr>
                <w:rFonts w:asciiTheme="minorEastAsia" w:hAnsiTheme="minorEastAsia" w:eastAsiaTheme="minorEastAsia"/>
                <w:bCs/>
                <w:color w:val="auto"/>
                <w:szCs w:val="21"/>
              </w:rPr>
              <w:t>12</w:t>
            </w:r>
            <w:r>
              <w:rPr>
                <w:rFonts w:hint="eastAsia" w:asciiTheme="minorEastAsia" w:hAnsiTheme="minorEastAsia" w:eastAsiaTheme="minorEastAsia"/>
                <w:bCs/>
                <w:color w:val="auto"/>
                <w:szCs w:val="21"/>
              </w:rPr>
              <w:t>个月内经检验合格的产品</w:t>
            </w:r>
            <w:r>
              <w:rPr>
                <w:rFonts w:hint="eastAsia" w:ascii="宋体" w:hAnsi="宋体"/>
                <w:color w:val="auto"/>
                <w:szCs w:val="21"/>
              </w:rPr>
              <w:t>，若无法提供12个月内的产品，则采购人有权要求延长相应期限的产品保修期</w:t>
            </w:r>
            <w:r>
              <w:rPr>
                <w:rFonts w:hint="eastAsia" w:asciiTheme="minorEastAsia" w:hAnsiTheme="minorEastAsia" w:eastAsiaTheme="minorEastAsia"/>
                <w:bCs/>
                <w:color w:val="auto"/>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中</w:t>
            </w:r>
            <w:r>
              <w:rPr>
                <w:rFonts w:hint="eastAsia" w:asciiTheme="minorEastAsia" w:hAnsiTheme="minorEastAsia" w:eastAsiaTheme="minorEastAsia"/>
                <w:bCs/>
                <w:szCs w:val="21"/>
              </w:rPr>
              <w:t>标人负责完成首次计量强制检定，验收前中标人必须附上计量检定合格报告。</w:t>
            </w:r>
          </w:p>
          <w:p w14:paraId="7070369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13F94E7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30 日历日内安装调试完毕。</w:t>
            </w:r>
          </w:p>
          <w:p w14:paraId="78BCC61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r>
      <w:tr w14:paraId="6DD7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5" w:type="dxa"/>
            <w:gridSpan w:val="3"/>
          </w:tcPr>
          <w:p w14:paraId="1CBA688D">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8261" w:type="dxa"/>
            <w:gridSpan w:val="2"/>
          </w:tcPr>
          <w:p w14:paraId="32DCA6A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14:paraId="4496E04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5185BC4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6C734C4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3983829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516F8D8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0816207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72F2783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及鉴定(检测费用由中标人承担)，检测结果必须证明中标人提供的技术数据是真实的，否则视为不合格</w:t>
            </w:r>
          </w:p>
          <w:p w14:paraId="4A700A4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r>
      <w:tr w14:paraId="3F7B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5" w:type="dxa"/>
            <w:gridSpan w:val="3"/>
          </w:tcPr>
          <w:p w14:paraId="53BE7C8A">
            <w:pPr>
              <w:adjustRightInd w:val="0"/>
              <w:snapToGrid w:val="0"/>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50109BE1">
            <w:pPr>
              <w:adjustRightInd w:val="0"/>
              <w:snapToGrid w:val="0"/>
              <w:rPr>
                <w:rFonts w:asciiTheme="majorEastAsia" w:hAnsiTheme="majorEastAsia" w:eastAsiaTheme="majorEastAsia"/>
                <w:sz w:val="24"/>
                <w:szCs w:val="21"/>
              </w:rPr>
            </w:pPr>
          </w:p>
        </w:tc>
        <w:tc>
          <w:tcPr>
            <w:tcW w:w="8261" w:type="dxa"/>
            <w:gridSpan w:val="2"/>
          </w:tcPr>
          <w:p w14:paraId="12854542">
            <w:pPr>
              <w:adjustRightInd w:val="0"/>
              <w:snapToGrid w:val="0"/>
              <w:ind w:firstLine="420" w:firstLineChars="200"/>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7.1</w:t>
            </w:r>
            <w:r>
              <w:rPr>
                <w:rFonts w:hint="eastAsia" w:ascii="宋体" w:hAnsi="宋体"/>
                <w:bCs/>
                <w:color w:val="auto"/>
                <w:szCs w:val="21"/>
                <w:shd w:val="clear" w:color="auto" w:fill="FFFFFF" w:themeFill="background1"/>
              </w:rPr>
              <w:t>各投标人应在投标文件中承诺报价已包含提供整机</w:t>
            </w:r>
            <w:r>
              <w:rPr>
                <w:rFonts w:hint="eastAsia" w:ascii="宋体" w:hAnsi="宋体"/>
                <w:bCs/>
                <w:color w:val="auto"/>
                <w:szCs w:val="21"/>
                <w:highlight w:val="yellow"/>
                <w:shd w:val="clear" w:color="auto" w:fill="FFFFFF" w:themeFill="background1"/>
              </w:rPr>
              <w:t>原厂保修期</w:t>
            </w:r>
            <w:r>
              <w:rPr>
                <w:rFonts w:hint="eastAsia" w:asciiTheme="minorEastAsia" w:hAnsiTheme="minorEastAsia" w:eastAsiaTheme="minorEastAsia"/>
                <w:bCs/>
                <w:color w:val="auto"/>
                <w:szCs w:val="21"/>
                <w:highlight w:val="yellow"/>
                <w:u w:val="single"/>
                <w:shd w:val="clear" w:color="auto" w:fill="FFFFFF" w:themeFill="background1"/>
              </w:rPr>
              <w:t xml:space="preserve">终身 </w:t>
            </w:r>
            <w:r>
              <w:rPr>
                <w:rFonts w:hint="eastAsia" w:asciiTheme="minorEastAsia" w:hAnsiTheme="minorEastAsia" w:eastAsiaTheme="minorEastAsia"/>
                <w:bCs/>
                <w:color w:val="auto"/>
                <w:szCs w:val="21"/>
                <w:highlight w:val="yellow"/>
              </w:rPr>
              <w:t>，</w:t>
            </w:r>
            <w:r>
              <w:rPr>
                <w:rFonts w:hint="eastAsia" w:asciiTheme="minorEastAsia" w:hAnsiTheme="minorEastAsia" w:eastAsiaTheme="minorEastAsia"/>
                <w:bCs/>
                <w:color w:val="auto"/>
                <w:szCs w:val="21"/>
              </w:rPr>
              <w:t>终身维修。</w:t>
            </w:r>
            <w:r>
              <w:rPr>
                <w:rFonts w:hint="eastAsia" w:ascii="宋体" w:hAnsi="宋体"/>
                <w:bCs/>
                <w:color w:val="auto"/>
                <w:szCs w:val="21"/>
              </w:rPr>
              <w:t>保修期</w:t>
            </w:r>
            <w:r>
              <w:rPr>
                <w:rFonts w:hint="eastAsia" w:asciiTheme="minorEastAsia" w:hAnsiTheme="minorEastAsia" w:eastAsiaTheme="minorEastAsia"/>
                <w:bCs/>
                <w:color w:val="auto"/>
                <w:szCs w:val="21"/>
              </w:rPr>
              <w:t>内</w:t>
            </w:r>
            <w:r>
              <w:rPr>
                <w:rFonts w:asciiTheme="minorEastAsia" w:hAnsiTheme="minorEastAsia" w:eastAsiaTheme="minorEastAsia"/>
                <w:bCs/>
                <w:color w:val="auto"/>
                <w:szCs w:val="21"/>
              </w:rPr>
              <w:t>,</w:t>
            </w:r>
            <w:r>
              <w:rPr>
                <w:rFonts w:hint="eastAsia" w:asciiTheme="minorEastAsia" w:hAnsiTheme="minorEastAsia" w:eastAsiaTheme="minorEastAsia"/>
                <w:bCs/>
                <w:color w:val="auto"/>
                <w:szCs w:val="21"/>
              </w:rPr>
              <w:t>年度定期预防性维护保养次数应不少于 2 次并留存维护记录。报价已包含</w:t>
            </w:r>
            <w:r>
              <w:rPr>
                <w:rFonts w:hint="eastAsia" w:ascii="宋体" w:hAnsi="宋体"/>
                <w:bCs/>
                <w:color w:val="auto"/>
                <w:szCs w:val="21"/>
              </w:rPr>
              <w:t>保修期</w:t>
            </w:r>
            <w:r>
              <w:rPr>
                <w:rFonts w:hint="eastAsia" w:asciiTheme="minorEastAsia" w:hAnsiTheme="minorEastAsia" w:eastAsiaTheme="minorEastAsia"/>
                <w:bCs/>
                <w:color w:val="auto"/>
                <w:szCs w:val="21"/>
              </w:rPr>
              <w:t>内更换零配件及工时费。</w:t>
            </w:r>
          </w:p>
          <w:p w14:paraId="345D7372">
            <w:pPr>
              <w:adjustRightInd w:val="0"/>
              <w:snapToGrid w:val="0"/>
              <w:ind w:firstLine="360" w:firstLineChars="200"/>
              <w:rPr>
                <w:rFonts w:asciiTheme="minorEastAsia" w:hAnsiTheme="minorEastAsia" w:eastAsiaTheme="minorEastAsia"/>
                <w:bCs/>
                <w:color w:val="auto"/>
                <w:sz w:val="18"/>
                <w:szCs w:val="21"/>
              </w:rPr>
            </w:pPr>
            <w:r>
              <w:rPr>
                <w:rFonts w:hint="eastAsia" w:asciiTheme="minorEastAsia" w:hAnsiTheme="minorEastAsia" w:eastAsiaTheme="minorEastAsia"/>
                <w:bCs/>
                <w:color w:val="auto"/>
                <w:sz w:val="18"/>
                <w:szCs w:val="21"/>
              </w:rPr>
              <w:t>（备注：质保期是指投标人应在该期间内对本项目下交付的所有货物提供质量保证，不包括消耗品的配送。）</w:t>
            </w:r>
          </w:p>
          <w:p w14:paraId="64EF8DA9">
            <w:pPr>
              <w:adjustRightInd w:val="0"/>
              <w:snapToGrid w:val="0"/>
              <w:ind w:firstLine="420" w:firstLineChars="200"/>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7.2    4小时内响应，24 小时维修到位（不可抗力情况除外）。消耗品和零配件供应及时，质保期</w:t>
            </w:r>
            <w:r>
              <w:rPr>
                <w:rFonts w:asciiTheme="minorEastAsia" w:hAnsiTheme="minorEastAsia" w:eastAsiaTheme="minorEastAsia"/>
                <w:bCs/>
                <w:color w:val="auto"/>
                <w:szCs w:val="21"/>
              </w:rPr>
              <w:t>内及外设备出现故障不能正常使用，中标</w:t>
            </w:r>
            <w:r>
              <w:rPr>
                <w:rFonts w:hint="eastAsia" w:asciiTheme="minorEastAsia" w:hAnsiTheme="minorEastAsia" w:eastAsiaTheme="minorEastAsia"/>
                <w:bCs/>
                <w:color w:val="auto"/>
                <w:szCs w:val="21"/>
              </w:rPr>
              <w:t>人报价已包含</w:t>
            </w:r>
            <w:r>
              <w:rPr>
                <w:rFonts w:asciiTheme="minorEastAsia" w:hAnsiTheme="minorEastAsia" w:eastAsiaTheme="minorEastAsia"/>
                <w:bCs/>
                <w:color w:val="auto"/>
                <w:szCs w:val="21"/>
              </w:rPr>
              <w:t>提供备用机给采购人使用直至设备修复完好投入使用</w:t>
            </w:r>
            <w:r>
              <w:rPr>
                <w:rFonts w:hint="eastAsia" w:asciiTheme="minorEastAsia" w:hAnsiTheme="minorEastAsia" w:eastAsiaTheme="minorEastAsia"/>
                <w:bCs/>
                <w:color w:val="auto"/>
                <w:szCs w:val="21"/>
              </w:rPr>
              <w:t>的服务</w:t>
            </w:r>
            <w:r>
              <w:rPr>
                <w:rFonts w:asciiTheme="minorEastAsia" w:hAnsiTheme="minorEastAsia" w:eastAsiaTheme="minorEastAsia"/>
                <w:bCs/>
                <w:color w:val="auto"/>
                <w:szCs w:val="21"/>
              </w:rPr>
              <w:t>。</w:t>
            </w:r>
          </w:p>
          <w:p w14:paraId="25F12322">
            <w:pPr>
              <w:adjustRightInd w:val="0"/>
              <w:snapToGrid w:val="0"/>
              <w:ind w:firstLine="420" w:firstLineChars="200"/>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7.3质保期满以后，中标人对设备终身负责维修、安装、升级软件服务，长期以优惠价提供零配件（中标供应商提供主要零配件报价单）。</w:t>
            </w:r>
          </w:p>
          <w:p w14:paraId="40E34EEA">
            <w:pPr>
              <w:adjustRightInd w:val="0"/>
              <w:snapToGrid w:val="0"/>
              <w:ind w:firstLine="420" w:firstLineChars="200"/>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7.4报价已包含终身提供软件升级服务,并开放设备接口，派人配合与医院各信息系统的连接工作，直至该设备与医院信息系统可进行完整的数据交换；在设备保修期内，当医院信息系统变更并需要与该设备连接时，需派人配合直至该设备与医院信息系统可进行完整的数据交换，且采购人无需另行支付费用。</w:t>
            </w:r>
          </w:p>
          <w:p w14:paraId="1394C710">
            <w:pPr>
              <w:adjustRightInd w:val="0"/>
              <w:snapToGrid w:val="0"/>
              <w:ind w:firstLine="420" w:firstLineChars="200"/>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color w:val="auto"/>
                <w:szCs w:val="21"/>
              </w:rPr>
              <w:t>，</w:t>
            </w:r>
            <w:r>
              <w:rPr>
                <w:rFonts w:hint="eastAsia" w:asciiTheme="minorEastAsia" w:hAnsiTheme="minorEastAsia" w:eastAsiaTheme="minorEastAsia"/>
                <w:bCs/>
                <w:color w:val="auto"/>
                <w:szCs w:val="21"/>
              </w:rPr>
              <w:t>采购人维修通知的邮件发出后，视为采购人的维修通知送达中标人。</w:t>
            </w:r>
          </w:p>
          <w:p w14:paraId="10912696">
            <w:pPr>
              <w:adjustRightInd w:val="0"/>
              <w:snapToGrid w:val="0"/>
              <w:ind w:firstLine="420" w:firstLineChars="200"/>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7.6</w:t>
            </w:r>
            <w:r>
              <w:rPr>
                <w:rFonts w:hint="eastAsia"/>
                <w:color w:val="auto"/>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color w:val="auto"/>
                <w:szCs w:val="21"/>
              </w:rPr>
              <w:t>质保期</w:t>
            </w:r>
            <w:r>
              <w:rPr>
                <w:rFonts w:asciiTheme="minorEastAsia" w:hAnsiTheme="minorEastAsia" w:eastAsiaTheme="minorEastAsia"/>
                <w:bCs/>
                <w:color w:val="auto"/>
                <w:szCs w:val="21"/>
              </w:rPr>
              <w:t>满后，</w:t>
            </w:r>
            <w:r>
              <w:rPr>
                <w:rFonts w:hint="eastAsia" w:asciiTheme="minorEastAsia" w:hAnsiTheme="minorEastAsia" w:eastAsiaTheme="minorEastAsia"/>
                <w:bCs/>
                <w:color w:val="auto"/>
                <w:szCs w:val="21"/>
              </w:rPr>
              <w:t>中标</w:t>
            </w:r>
            <w:r>
              <w:rPr>
                <w:rFonts w:asciiTheme="minorEastAsia" w:hAnsiTheme="minorEastAsia" w:eastAsiaTheme="minorEastAsia"/>
                <w:bCs/>
                <w:color w:val="auto"/>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color w:val="auto"/>
                <w:szCs w:val="21"/>
              </w:rPr>
              <w:t>中标</w:t>
            </w:r>
            <w:r>
              <w:rPr>
                <w:rFonts w:asciiTheme="minorEastAsia" w:hAnsiTheme="minorEastAsia" w:eastAsiaTheme="minorEastAsia"/>
                <w:bCs/>
                <w:color w:val="auto"/>
                <w:szCs w:val="21"/>
              </w:rPr>
              <w:t>人就优惠价进行谈判，但优惠价不得高于</w:t>
            </w:r>
            <w:r>
              <w:rPr>
                <w:rFonts w:hint="eastAsia" w:asciiTheme="minorEastAsia" w:hAnsiTheme="minorEastAsia" w:eastAsiaTheme="minorEastAsia"/>
                <w:bCs/>
                <w:color w:val="auto"/>
                <w:szCs w:val="21"/>
              </w:rPr>
              <w:t>中标</w:t>
            </w:r>
            <w:r>
              <w:rPr>
                <w:rFonts w:asciiTheme="minorEastAsia" w:hAnsiTheme="minorEastAsia" w:eastAsiaTheme="minorEastAsia"/>
                <w:bCs/>
                <w:color w:val="auto"/>
                <w:szCs w:val="21"/>
              </w:rPr>
              <w:t>人在投标文件的《零配件、消耗品和延续保修合同报价清单》中承诺的维修零配件、消耗品和延续保修合同的报价。</w:t>
            </w:r>
          </w:p>
        </w:tc>
      </w:tr>
      <w:tr w14:paraId="7BF20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5" w:type="dxa"/>
            <w:gridSpan w:val="3"/>
          </w:tcPr>
          <w:p w14:paraId="2C7984DE">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8261" w:type="dxa"/>
            <w:gridSpan w:val="2"/>
          </w:tcPr>
          <w:p w14:paraId="328EE90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14:paraId="0105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5" w:type="dxa"/>
            <w:gridSpan w:val="3"/>
          </w:tcPr>
          <w:p w14:paraId="55595F49">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8261" w:type="dxa"/>
            <w:gridSpan w:val="2"/>
          </w:tcPr>
          <w:p w14:paraId="71F29C7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14:paraId="3C4480F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r>
      <w:tr w14:paraId="2FA6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5" w:type="dxa"/>
            <w:gridSpan w:val="3"/>
            <w:tcBorders>
              <w:bottom w:val="single" w:color="auto" w:sz="4" w:space="0"/>
            </w:tcBorders>
          </w:tcPr>
          <w:p w14:paraId="15879E3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8261" w:type="dxa"/>
            <w:gridSpan w:val="2"/>
            <w:tcBorders>
              <w:bottom w:val="single" w:color="auto" w:sz="4" w:space="0"/>
            </w:tcBorders>
          </w:tcPr>
          <w:p w14:paraId="7D2897E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26FF33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4567DF68">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0FABF5C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r>
    </w:tbl>
    <w:p w14:paraId="03770C0F">
      <w:pPr>
        <w:ind w:firstLine="150" w:firstLineChars="100"/>
        <w:rPr>
          <w:rFonts w:cs="方正小标宋简体" w:asciiTheme="majorEastAsia" w:hAnsiTheme="majorEastAsia" w:eastAsiaTheme="majorEastAsia"/>
          <w:sz w:val="15"/>
          <w:szCs w:val="15"/>
        </w:rPr>
      </w:pPr>
    </w:p>
    <w:p w14:paraId="36C23629">
      <w:pPr>
        <w:ind w:left="400"/>
        <w:jc w:val="center"/>
        <w:rPr>
          <w:rFonts w:hint="eastAsia" w:cs="方正小标宋简体" w:asciiTheme="majorEastAsia" w:hAnsiTheme="majorEastAsia" w:eastAsiaTheme="majorEastAsia"/>
          <w:b/>
          <w:sz w:val="36"/>
          <w:szCs w:val="36"/>
        </w:rPr>
      </w:pPr>
    </w:p>
    <w:p w14:paraId="0BFAB699">
      <w:pPr>
        <w:ind w:left="400"/>
        <w:jc w:val="center"/>
        <w:rPr>
          <w:rFonts w:hint="eastAsia" w:cs="方正小标宋简体" w:asciiTheme="majorEastAsia" w:hAnsiTheme="majorEastAsia" w:eastAsiaTheme="majorEastAsia"/>
          <w:b/>
          <w:sz w:val="36"/>
          <w:szCs w:val="36"/>
        </w:rPr>
      </w:pPr>
    </w:p>
    <w:p w14:paraId="2CFFE2A3">
      <w:pPr>
        <w:ind w:left="400"/>
        <w:jc w:val="center"/>
        <w:rPr>
          <w:rFonts w:hint="eastAsia" w:cs="方正小标宋简体" w:asciiTheme="majorEastAsia" w:hAnsiTheme="majorEastAsia" w:eastAsiaTheme="majorEastAsia"/>
          <w:b/>
          <w:sz w:val="36"/>
          <w:szCs w:val="36"/>
        </w:rPr>
      </w:pPr>
    </w:p>
    <w:p w14:paraId="5F25C2CF">
      <w:pPr>
        <w:ind w:left="400"/>
        <w:jc w:val="center"/>
        <w:rPr>
          <w:rFonts w:hint="eastAsia" w:cs="方正小标宋简体" w:asciiTheme="majorEastAsia" w:hAnsiTheme="majorEastAsia" w:eastAsiaTheme="majorEastAsia"/>
          <w:b/>
          <w:sz w:val="36"/>
          <w:szCs w:val="36"/>
        </w:rPr>
      </w:pPr>
    </w:p>
    <w:p w14:paraId="25A5094D">
      <w:pPr>
        <w:ind w:left="400"/>
        <w:jc w:val="center"/>
        <w:rPr>
          <w:rFonts w:hint="eastAsia" w:cs="方正小标宋简体" w:asciiTheme="majorEastAsia" w:hAnsiTheme="majorEastAsia" w:eastAsiaTheme="majorEastAsia"/>
          <w:b/>
          <w:sz w:val="36"/>
          <w:szCs w:val="36"/>
        </w:rPr>
      </w:pPr>
    </w:p>
    <w:p w14:paraId="0C261BA5">
      <w:pPr>
        <w:jc w:val="both"/>
        <w:rPr>
          <w:rFonts w:hint="eastAsia" w:cs="方正小标宋简体" w:asciiTheme="majorEastAsia" w:hAnsiTheme="majorEastAsia" w:eastAsiaTheme="majorEastAsia"/>
          <w:b/>
          <w:sz w:val="36"/>
          <w:szCs w:val="36"/>
        </w:rPr>
      </w:pPr>
    </w:p>
    <w:p w14:paraId="42267F10">
      <w:pPr>
        <w:ind w:left="400"/>
        <w:jc w:val="center"/>
        <w:rPr>
          <w:rFonts w:hint="eastAsia" w:cs="方正小标宋简体" w:asciiTheme="majorEastAsia" w:hAnsiTheme="majorEastAsia" w:eastAsiaTheme="majorEastAsia"/>
          <w:b/>
          <w:sz w:val="36"/>
          <w:szCs w:val="36"/>
        </w:rPr>
      </w:pPr>
    </w:p>
    <w:p w14:paraId="2849D4B7">
      <w:pPr>
        <w:ind w:left="400"/>
        <w:jc w:val="center"/>
        <w:rPr>
          <w:rFonts w:cs="方正小标宋简体" w:asciiTheme="majorEastAsia" w:hAnsiTheme="majorEastAsia" w:eastAsiaTheme="majorEastAsia"/>
          <w:b/>
          <w:sz w:val="36"/>
          <w:szCs w:val="36"/>
        </w:rPr>
      </w:pPr>
      <w:r>
        <w:rPr>
          <w:rFonts w:hint="eastAsia" w:cs="方正小标宋简体" w:asciiTheme="majorEastAsia" w:hAnsiTheme="majorEastAsia" w:eastAsiaTheme="majorEastAsia"/>
          <w:b/>
          <w:sz w:val="36"/>
          <w:szCs w:val="36"/>
        </w:rPr>
        <w:t>第三部分</w:t>
      </w:r>
      <w:r>
        <w:rPr>
          <w:rFonts w:cs="方正小标宋简体" w:asciiTheme="majorEastAsia" w:hAnsiTheme="majorEastAsia" w:eastAsiaTheme="majorEastAsia"/>
          <w:b/>
          <w:sz w:val="36"/>
          <w:szCs w:val="36"/>
        </w:rPr>
        <w:t xml:space="preserve"> </w:t>
      </w:r>
      <w:r>
        <w:rPr>
          <w:rFonts w:hint="eastAsia" w:cs="方正小标宋简体" w:asciiTheme="majorEastAsia" w:hAnsiTheme="majorEastAsia" w:eastAsiaTheme="majorEastAsia"/>
          <w:b/>
          <w:sz w:val="36"/>
          <w:szCs w:val="36"/>
        </w:rPr>
        <w:t>其他说明</w:t>
      </w:r>
    </w:p>
    <w:p w14:paraId="2408B4A5">
      <w:pPr>
        <w:pStyle w:val="3"/>
        <w:spacing w:line="240" w:lineRule="auto"/>
        <w:ind w:left="400"/>
        <w:rPr>
          <w:rFonts w:hint="eastAsia" w:asciiTheme="majorEastAsia" w:hAnsiTheme="majorEastAsia" w:eastAsiaTheme="majorEastAsia"/>
        </w:rPr>
      </w:pPr>
      <w:r>
        <w:rPr>
          <w:rFonts w:hint="eastAsia" w:asciiTheme="majorEastAsia" w:hAnsiTheme="majorEastAsia" w:eastAsiaTheme="majorEastAsia"/>
        </w:rPr>
        <w:t>（如有需特殊说明的情况，请列明，包括但不限于设备有专机专用试剂耗材、安装场地要求、信息系统等特殊需求）</w:t>
      </w:r>
    </w:p>
    <w:tbl>
      <w:tblPr>
        <w:tblStyle w:val="9"/>
        <w:tblW w:w="10175"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47"/>
        <w:gridCol w:w="835"/>
        <w:gridCol w:w="1322"/>
        <w:gridCol w:w="459"/>
        <w:gridCol w:w="1806"/>
        <w:gridCol w:w="1426"/>
        <w:gridCol w:w="494"/>
        <w:gridCol w:w="1117"/>
        <w:gridCol w:w="1097"/>
        <w:gridCol w:w="1072"/>
      </w:tblGrid>
      <w:tr w14:paraId="6AD99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1" w:hRule="atLeast"/>
        </w:trPr>
        <w:tc>
          <w:tcPr>
            <w:tcW w:w="547" w:type="dxa"/>
            <w:shd w:val="clear" w:color="auto" w:fill="auto"/>
            <w:noWrap/>
            <w:vAlign w:val="center"/>
          </w:tcPr>
          <w:p w14:paraId="55962DC1">
            <w:pPr>
              <w:keepNext w:val="0"/>
              <w:keepLines w:val="0"/>
              <w:widowControl/>
              <w:suppressLineNumbers w:val="0"/>
              <w:jc w:val="center"/>
              <w:textAlignment w:val="center"/>
              <w:rPr>
                <w:rFonts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项目序号</w:t>
            </w:r>
          </w:p>
        </w:tc>
        <w:tc>
          <w:tcPr>
            <w:tcW w:w="835" w:type="dxa"/>
            <w:shd w:val="clear" w:color="auto" w:fill="auto"/>
            <w:vAlign w:val="center"/>
          </w:tcPr>
          <w:p w14:paraId="1CAE9FD4">
            <w:pPr>
              <w:keepNext w:val="0"/>
              <w:keepLines w:val="0"/>
              <w:widowControl/>
              <w:suppressLineNumbers w:val="0"/>
              <w:jc w:val="center"/>
              <w:textAlignment w:val="center"/>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申请科室</w:t>
            </w:r>
          </w:p>
        </w:tc>
        <w:tc>
          <w:tcPr>
            <w:tcW w:w="1322" w:type="dxa"/>
            <w:shd w:val="clear" w:color="auto" w:fill="auto"/>
            <w:vAlign w:val="center"/>
          </w:tcPr>
          <w:p w14:paraId="7353BEF4">
            <w:pPr>
              <w:keepNext w:val="0"/>
              <w:keepLines w:val="0"/>
              <w:widowControl/>
              <w:suppressLineNumbers w:val="0"/>
              <w:jc w:val="center"/>
              <w:textAlignment w:val="center"/>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项目名称</w:t>
            </w:r>
          </w:p>
        </w:tc>
        <w:tc>
          <w:tcPr>
            <w:tcW w:w="459" w:type="dxa"/>
            <w:shd w:val="clear" w:color="auto" w:fill="auto"/>
            <w:vAlign w:val="center"/>
          </w:tcPr>
          <w:p w14:paraId="6FB359FC">
            <w:pPr>
              <w:keepNext w:val="0"/>
              <w:keepLines w:val="0"/>
              <w:widowControl/>
              <w:suppressLineNumbers w:val="0"/>
              <w:jc w:val="center"/>
              <w:textAlignment w:val="center"/>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试剂序号</w:t>
            </w:r>
          </w:p>
        </w:tc>
        <w:tc>
          <w:tcPr>
            <w:tcW w:w="1806" w:type="dxa"/>
            <w:shd w:val="clear" w:color="auto" w:fill="auto"/>
            <w:vAlign w:val="center"/>
          </w:tcPr>
          <w:p w14:paraId="7E8D4C22">
            <w:pPr>
              <w:keepNext w:val="0"/>
              <w:keepLines w:val="0"/>
              <w:widowControl/>
              <w:suppressLineNumbers w:val="0"/>
              <w:jc w:val="center"/>
              <w:textAlignment w:val="center"/>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产品名称(参考)</w:t>
            </w:r>
          </w:p>
        </w:tc>
        <w:tc>
          <w:tcPr>
            <w:tcW w:w="1426" w:type="dxa"/>
            <w:shd w:val="clear" w:color="auto" w:fill="auto"/>
            <w:vAlign w:val="center"/>
          </w:tcPr>
          <w:p w14:paraId="5F66C50D">
            <w:pPr>
              <w:keepNext w:val="0"/>
              <w:keepLines w:val="0"/>
              <w:widowControl/>
              <w:suppressLineNumbers w:val="0"/>
              <w:jc w:val="left"/>
              <w:textAlignment w:val="center"/>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建议规格</w:t>
            </w:r>
          </w:p>
        </w:tc>
        <w:tc>
          <w:tcPr>
            <w:tcW w:w="494" w:type="dxa"/>
            <w:shd w:val="clear" w:color="auto" w:fill="auto"/>
            <w:vAlign w:val="center"/>
          </w:tcPr>
          <w:p w14:paraId="2A2B9D1C">
            <w:pPr>
              <w:keepNext w:val="0"/>
              <w:keepLines w:val="0"/>
              <w:widowControl/>
              <w:suppressLineNumbers w:val="0"/>
              <w:jc w:val="center"/>
              <w:textAlignment w:val="center"/>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单位</w:t>
            </w:r>
          </w:p>
        </w:tc>
        <w:tc>
          <w:tcPr>
            <w:tcW w:w="1117" w:type="dxa"/>
            <w:shd w:val="clear" w:color="auto" w:fill="auto"/>
            <w:vAlign w:val="center"/>
          </w:tcPr>
          <w:p w14:paraId="1A1FB460">
            <w:pPr>
              <w:keepNext w:val="0"/>
              <w:keepLines w:val="0"/>
              <w:widowControl/>
              <w:suppressLineNumbers w:val="0"/>
              <w:jc w:val="center"/>
              <w:textAlignment w:val="center"/>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预估年用量</w:t>
            </w:r>
          </w:p>
        </w:tc>
        <w:tc>
          <w:tcPr>
            <w:tcW w:w="1097" w:type="dxa"/>
            <w:shd w:val="clear" w:color="auto" w:fill="auto"/>
            <w:vAlign w:val="center"/>
          </w:tcPr>
          <w:p w14:paraId="15F69FE2">
            <w:pPr>
              <w:keepNext w:val="0"/>
              <w:keepLines w:val="0"/>
              <w:widowControl/>
              <w:suppressLineNumbers w:val="0"/>
              <w:jc w:val="center"/>
              <w:textAlignment w:val="center"/>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每单位预算价</w:t>
            </w:r>
          </w:p>
        </w:tc>
        <w:tc>
          <w:tcPr>
            <w:tcW w:w="1072" w:type="dxa"/>
            <w:shd w:val="clear" w:color="auto" w:fill="auto"/>
            <w:vAlign w:val="center"/>
          </w:tcPr>
          <w:p w14:paraId="09214F9E">
            <w:pPr>
              <w:keepNext w:val="0"/>
              <w:keepLines w:val="0"/>
              <w:widowControl/>
              <w:suppressLineNumbers w:val="0"/>
              <w:jc w:val="center"/>
              <w:textAlignment w:val="center"/>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每人份预算价</w:t>
            </w:r>
          </w:p>
        </w:tc>
      </w:tr>
      <w:tr w14:paraId="3EC2E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0" w:hRule="atLeast"/>
        </w:trPr>
        <w:tc>
          <w:tcPr>
            <w:tcW w:w="547" w:type="dxa"/>
            <w:vMerge w:val="restart"/>
            <w:shd w:val="clear" w:color="auto" w:fill="auto"/>
            <w:vAlign w:val="center"/>
          </w:tcPr>
          <w:p w14:paraId="36AF688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w:t>
            </w:r>
          </w:p>
        </w:tc>
        <w:tc>
          <w:tcPr>
            <w:tcW w:w="835" w:type="dxa"/>
            <w:vMerge w:val="restart"/>
            <w:shd w:val="clear" w:color="auto" w:fill="auto"/>
            <w:vAlign w:val="center"/>
          </w:tcPr>
          <w:p w14:paraId="1EC2597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检验科</w:t>
            </w:r>
          </w:p>
        </w:tc>
        <w:tc>
          <w:tcPr>
            <w:tcW w:w="1322" w:type="dxa"/>
            <w:vMerge w:val="restart"/>
            <w:shd w:val="clear" w:color="auto" w:fill="auto"/>
            <w:vAlign w:val="center"/>
          </w:tcPr>
          <w:p w14:paraId="4C697A6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全自动血液分析系统配套专用试剂</w:t>
            </w:r>
          </w:p>
        </w:tc>
        <w:tc>
          <w:tcPr>
            <w:tcW w:w="459" w:type="dxa"/>
            <w:shd w:val="clear" w:color="auto" w:fill="auto"/>
            <w:vAlign w:val="center"/>
          </w:tcPr>
          <w:p w14:paraId="7452F56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w:t>
            </w:r>
          </w:p>
        </w:tc>
        <w:tc>
          <w:tcPr>
            <w:tcW w:w="1806" w:type="dxa"/>
            <w:shd w:val="clear" w:color="auto" w:fill="auto"/>
            <w:vAlign w:val="center"/>
          </w:tcPr>
          <w:p w14:paraId="1391861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血细胞分析用溶血剂</w:t>
            </w:r>
          </w:p>
        </w:tc>
        <w:tc>
          <w:tcPr>
            <w:tcW w:w="1426" w:type="dxa"/>
            <w:shd w:val="clear" w:color="auto" w:fill="auto"/>
            <w:vAlign w:val="center"/>
          </w:tcPr>
          <w:p w14:paraId="544D85E8">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4L×1（M-68P LN）</w:t>
            </w:r>
          </w:p>
        </w:tc>
        <w:tc>
          <w:tcPr>
            <w:tcW w:w="494" w:type="dxa"/>
            <w:shd w:val="clear" w:color="auto" w:fill="auto"/>
            <w:vAlign w:val="center"/>
          </w:tcPr>
          <w:p w14:paraId="0AE2C84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箱</w:t>
            </w:r>
          </w:p>
        </w:tc>
        <w:tc>
          <w:tcPr>
            <w:tcW w:w="1117" w:type="dxa"/>
            <w:shd w:val="clear" w:color="auto" w:fill="auto"/>
            <w:vAlign w:val="center"/>
          </w:tcPr>
          <w:p w14:paraId="45FE98F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50</w:t>
            </w:r>
          </w:p>
        </w:tc>
        <w:tc>
          <w:tcPr>
            <w:tcW w:w="1097" w:type="dxa"/>
            <w:shd w:val="clear" w:color="auto" w:fill="auto"/>
            <w:vAlign w:val="center"/>
          </w:tcPr>
          <w:p w14:paraId="73C9C4A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1164</w:t>
            </w:r>
          </w:p>
        </w:tc>
        <w:tc>
          <w:tcPr>
            <w:tcW w:w="0" w:type="auto"/>
            <w:shd w:val="clear" w:color="auto" w:fill="auto"/>
            <w:noWrap/>
            <w:vAlign w:val="center"/>
          </w:tcPr>
          <w:p w14:paraId="365F13AC">
            <w:pPr>
              <w:keepNext w:val="0"/>
              <w:keepLines w:val="0"/>
              <w:widowControl/>
              <w:suppressLineNumbers w:val="0"/>
              <w:jc w:val="center"/>
              <w:textAlignment w:val="center"/>
              <w:rPr>
                <w:rFonts w:ascii="仿宋" w:hAnsi="仿宋" w:eastAsia="仿宋" w:cs="仿宋"/>
                <w:b w:val="0"/>
                <w:bCs w:val="0"/>
                <w:i w:val="0"/>
                <w:iCs w:val="0"/>
                <w:color w:val="000000"/>
                <w:sz w:val="18"/>
                <w:szCs w:val="18"/>
                <w:u w:val="none"/>
              </w:rPr>
            </w:pPr>
            <w:r>
              <w:rPr>
                <w:rFonts w:hint="eastAsia" w:ascii="仿宋" w:hAnsi="仿宋" w:eastAsia="仿宋" w:cs="仿宋"/>
                <w:b w:val="0"/>
                <w:bCs w:val="0"/>
                <w:i w:val="0"/>
                <w:iCs w:val="0"/>
                <w:color w:val="000000"/>
                <w:kern w:val="0"/>
                <w:sz w:val="18"/>
                <w:szCs w:val="18"/>
                <w:u w:val="none"/>
                <w:lang w:val="en-US" w:eastAsia="zh-CN" w:bidi="ar"/>
              </w:rPr>
              <w:t xml:space="preserve">0.54 </w:t>
            </w:r>
          </w:p>
        </w:tc>
      </w:tr>
      <w:tr w14:paraId="1715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0" w:hRule="atLeast"/>
        </w:trPr>
        <w:tc>
          <w:tcPr>
            <w:tcW w:w="547" w:type="dxa"/>
            <w:vMerge w:val="continue"/>
            <w:shd w:val="clear" w:color="auto" w:fill="auto"/>
            <w:vAlign w:val="center"/>
          </w:tcPr>
          <w:p w14:paraId="47E543A8">
            <w:pPr>
              <w:jc w:val="center"/>
              <w:rPr>
                <w:rFonts w:hint="eastAsia" w:ascii="宋体" w:hAnsi="宋体" w:eastAsia="宋体" w:cs="宋体"/>
                <w:b w:val="0"/>
                <w:bCs w:val="0"/>
                <w:i w:val="0"/>
                <w:iCs w:val="0"/>
                <w:color w:val="000000"/>
                <w:sz w:val="18"/>
                <w:szCs w:val="18"/>
                <w:u w:val="none"/>
              </w:rPr>
            </w:pPr>
          </w:p>
        </w:tc>
        <w:tc>
          <w:tcPr>
            <w:tcW w:w="835" w:type="dxa"/>
            <w:vMerge w:val="continue"/>
            <w:shd w:val="clear" w:color="auto" w:fill="auto"/>
            <w:vAlign w:val="center"/>
          </w:tcPr>
          <w:p w14:paraId="34AB8BA5">
            <w:pPr>
              <w:jc w:val="center"/>
              <w:rPr>
                <w:rFonts w:hint="eastAsia" w:ascii="宋体" w:hAnsi="宋体" w:eastAsia="宋体" w:cs="宋体"/>
                <w:b w:val="0"/>
                <w:bCs w:val="0"/>
                <w:i w:val="0"/>
                <w:iCs w:val="0"/>
                <w:color w:val="000000"/>
                <w:sz w:val="18"/>
                <w:szCs w:val="18"/>
                <w:u w:val="none"/>
              </w:rPr>
            </w:pPr>
          </w:p>
        </w:tc>
        <w:tc>
          <w:tcPr>
            <w:tcW w:w="1322" w:type="dxa"/>
            <w:vMerge w:val="continue"/>
            <w:shd w:val="clear" w:color="auto" w:fill="auto"/>
            <w:vAlign w:val="center"/>
          </w:tcPr>
          <w:p w14:paraId="295AC7DE">
            <w:pPr>
              <w:jc w:val="center"/>
              <w:rPr>
                <w:rFonts w:hint="eastAsia" w:ascii="宋体" w:hAnsi="宋体" w:eastAsia="宋体" w:cs="宋体"/>
                <w:b w:val="0"/>
                <w:bCs w:val="0"/>
                <w:i w:val="0"/>
                <w:iCs w:val="0"/>
                <w:color w:val="000000"/>
                <w:sz w:val="18"/>
                <w:szCs w:val="18"/>
                <w:u w:val="none"/>
              </w:rPr>
            </w:pPr>
          </w:p>
        </w:tc>
        <w:tc>
          <w:tcPr>
            <w:tcW w:w="459" w:type="dxa"/>
            <w:shd w:val="clear" w:color="auto" w:fill="auto"/>
            <w:vAlign w:val="center"/>
          </w:tcPr>
          <w:p w14:paraId="6C20D71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2</w:t>
            </w:r>
          </w:p>
        </w:tc>
        <w:tc>
          <w:tcPr>
            <w:tcW w:w="1806" w:type="dxa"/>
            <w:shd w:val="clear" w:color="auto" w:fill="auto"/>
            <w:vAlign w:val="center"/>
          </w:tcPr>
          <w:p w14:paraId="10B71D7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血细胞分析用溶血剂</w:t>
            </w:r>
          </w:p>
        </w:tc>
        <w:tc>
          <w:tcPr>
            <w:tcW w:w="1426" w:type="dxa"/>
            <w:shd w:val="clear" w:color="auto" w:fill="auto"/>
            <w:vAlign w:val="center"/>
          </w:tcPr>
          <w:p w14:paraId="5E22A811">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4L×1（M-68P LD）</w:t>
            </w:r>
          </w:p>
        </w:tc>
        <w:tc>
          <w:tcPr>
            <w:tcW w:w="494" w:type="dxa"/>
            <w:shd w:val="clear" w:color="auto" w:fill="auto"/>
            <w:vAlign w:val="center"/>
          </w:tcPr>
          <w:p w14:paraId="355C9EB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箱</w:t>
            </w:r>
          </w:p>
        </w:tc>
        <w:tc>
          <w:tcPr>
            <w:tcW w:w="1117" w:type="dxa"/>
            <w:shd w:val="clear" w:color="auto" w:fill="auto"/>
            <w:vAlign w:val="center"/>
          </w:tcPr>
          <w:p w14:paraId="08314B0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50</w:t>
            </w:r>
          </w:p>
        </w:tc>
        <w:tc>
          <w:tcPr>
            <w:tcW w:w="1097" w:type="dxa"/>
            <w:shd w:val="clear" w:color="auto" w:fill="auto"/>
            <w:vAlign w:val="center"/>
          </w:tcPr>
          <w:p w14:paraId="510D14A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2147</w:t>
            </w:r>
          </w:p>
        </w:tc>
        <w:tc>
          <w:tcPr>
            <w:tcW w:w="0" w:type="auto"/>
            <w:shd w:val="clear" w:color="auto" w:fill="auto"/>
            <w:noWrap/>
            <w:vAlign w:val="center"/>
          </w:tcPr>
          <w:p w14:paraId="57E21B82">
            <w:pPr>
              <w:keepNext w:val="0"/>
              <w:keepLines w:val="0"/>
              <w:widowControl/>
              <w:suppressLineNumbers w:val="0"/>
              <w:jc w:val="center"/>
              <w:textAlignment w:val="center"/>
              <w:rPr>
                <w:rFonts w:hint="eastAsia" w:ascii="仿宋" w:hAnsi="仿宋" w:eastAsia="仿宋" w:cs="仿宋"/>
                <w:b w:val="0"/>
                <w:bCs w:val="0"/>
                <w:i w:val="0"/>
                <w:iCs w:val="0"/>
                <w:color w:val="000000"/>
                <w:sz w:val="18"/>
                <w:szCs w:val="18"/>
                <w:u w:val="none"/>
              </w:rPr>
            </w:pPr>
            <w:r>
              <w:rPr>
                <w:rFonts w:hint="eastAsia" w:ascii="仿宋" w:hAnsi="仿宋" w:eastAsia="仿宋" w:cs="仿宋"/>
                <w:b w:val="0"/>
                <w:bCs w:val="0"/>
                <w:i w:val="0"/>
                <w:iCs w:val="0"/>
                <w:color w:val="000000"/>
                <w:kern w:val="0"/>
                <w:sz w:val="18"/>
                <w:szCs w:val="18"/>
                <w:u w:val="none"/>
                <w:lang w:val="en-US" w:eastAsia="zh-CN" w:bidi="ar"/>
              </w:rPr>
              <w:t xml:space="preserve">0.99 </w:t>
            </w:r>
          </w:p>
        </w:tc>
      </w:tr>
      <w:tr w14:paraId="4AF5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0" w:hRule="atLeast"/>
        </w:trPr>
        <w:tc>
          <w:tcPr>
            <w:tcW w:w="547" w:type="dxa"/>
            <w:vMerge w:val="continue"/>
            <w:shd w:val="clear" w:color="auto" w:fill="auto"/>
            <w:vAlign w:val="center"/>
          </w:tcPr>
          <w:p w14:paraId="7F36AFC8">
            <w:pPr>
              <w:jc w:val="center"/>
              <w:rPr>
                <w:rFonts w:hint="eastAsia" w:ascii="宋体" w:hAnsi="宋体" w:eastAsia="宋体" w:cs="宋体"/>
                <w:b w:val="0"/>
                <w:bCs w:val="0"/>
                <w:i w:val="0"/>
                <w:iCs w:val="0"/>
                <w:color w:val="000000"/>
                <w:sz w:val="18"/>
                <w:szCs w:val="18"/>
                <w:u w:val="none"/>
              </w:rPr>
            </w:pPr>
          </w:p>
        </w:tc>
        <w:tc>
          <w:tcPr>
            <w:tcW w:w="835" w:type="dxa"/>
            <w:vMerge w:val="continue"/>
            <w:shd w:val="clear" w:color="auto" w:fill="auto"/>
            <w:vAlign w:val="center"/>
          </w:tcPr>
          <w:p w14:paraId="03D2ED0F">
            <w:pPr>
              <w:jc w:val="center"/>
              <w:rPr>
                <w:rFonts w:hint="eastAsia" w:ascii="宋体" w:hAnsi="宋体" w:eastAsia="宋体" w:cs="宋体"/>
                <w:b w:val="0"/>
                <w:bCs w:val="0"/>
                <w:i w:val="0"/>
                <w:iCs w:val="0"/>
                <w:color w:val="000000"/>
                <w:sz w:val="18"/>
                <w:szCs w:val="18"/>
                <w:u w:val="none"/>
              </w:rPr>
            </w:pPr>
          </w:p>
        </w:tc>
        <w:tc>
          <w:tcPr>
            <w:tcW w:w="1322" w:type="dxa"/>
            <w:vMerge w:val="continue"/>
            <w:shd w:val="clear" w:color="auto" w:fill="auto"/>
            <w:vAlign w:val="center"/>
          </w:tcPr>
          <w:p w14:paraId="32716945">
            <w:pPr>
              <w:jc w:val="center"/>
              <w:rPr>
                <w:rFonts w:hint="eastAsia" w:ascii="宋体" w:hAnsi="宋体" w:eastAsia="宋体" w:cs="宋体"/>
                <w:b w:val="0"/>
                <w:bCs w:val="0"/>
                <w:i w:val="0"/>
                <w:iCs w:val="0"/>
                <w:color w:val="000000"/>
                <w:sz w:val="18"/>
                <w:szCs w:val="18"/>
                <w:u w:val="none"/>
              </w:rPr>
            </w:pPr>
          </w:p>
        </w:tc>
        <w:tc>
          <w:tcPr>
            <w:tcW w:w="459" w:type="dxa"/>
            <w:shd w:val="clear" w:color="auto" w:fill="auto"/>
            <w:vAlign w:val="center"/>
          </w:tcPr>
          <w:p w14:paraId="414B330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3</w:t>
            </w:r>
          </w:p>
        </w:tc>
        <w:tc>
          <w:tcPr>
            <w:tcW w:w="1806" w:type="dxa"/>
            <w:shd w:val="clear" w:color="auto" w:fill="auto"/>
            <w:vAlign w:val="center"/>
          </w:tcPr>
          <w:p w14:paraId="4DC2602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血细胞分析用染色液</w:t>
            </w:r>
          </w:p>
        </w:tc>
        <w:tc>
          <w:tcPr>
            <w:tcW w:w="1426" w:type="dxa"/>
            <w:shd w:val="clear" w:color="auto" w:fill="auto"/>
            <w:vAlign w:val="center"/>
          </w:tcPr>
          <w:p w14:paraId="62F619E6">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48mL×1（M-68P FN）</w:t>
            </w:r>
          </w:p>
        </w:tc>
        <w:tc>
          <w:tcPr>
            <w:tcW w:w="494" w:type="dxa"/>
            <w:shd w:val="clear" w:color="auto" w:fill="auto"/>
            <w:vAlign w:val="center"/>
          </w:tcPr>
          <w:p w14:paraId="42EC63B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箱</w:t>
            </w:r>
          </w:p>
        </w:tc>
        <w:tc>
          <w:tcPr>
            <w:tcW w:w="1117" w:type="dxa"/>
            <w:shd w:val="clear" w:color="auto" w:fill="auto"/>
            <w:vAlign w:val="center"/>
          </w:tcPr>
          <w:p w14:paraId="62952E9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50</w:t>
            </w:r>
          </w:p>
        </w:tc>
        <w:tc>
          <w:tcPr>
            <w:tcW w:w="1097" w:type="dxa"/>
            <w:shd w:val="clear" w:color="auto" w:fill="auto"/>
            <w:vAlign w:val="center"/>
          </w:tcPr>
          <w:p w14:paraId="1E64956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4427</w:t>
            </w:r>
          </w:p>
        </w:tc>
        <w:tc>
          <w:tcPr>
            <w:tcW w:w="0" w:type="auto"/>
            <w:shd w:val="clear" w:color="auto" w:fill="auto"/>
            <w:noWrap/>
            <w:vAlign w:val="center"/>
          </w:tcPr>
          <w:p w14:paraId="5588BAD3">
            <w:pPr>
              <w:keepNext w:val="0"/>
              <w:keepLines w:val="0"/>
              <w:widowControl/>
              <w:suppressLineNumbers w:val="0"/>
              <w:jc w:val="center"/>
              <w:textAlignment w:val="center"/>
              <w:rPr>
                <w:rFonts w:hint="eastAsia" w:ascii="仿宋" w:hAnsi="仿宋" w:eastAsia="仿宋" w:cs="仿宋"/>
                <w:b w:val="0"/>
                <w:bCs w:val="0"/>
                <w:i w:val="0"/>
                <w:iCs w:val="0"/>
                <w:color w:val="000000"/>
                <w:sz w:val="18"/>
                <w:szCs w:val="18"/>
                <w:u w:val="none"/>
              </w:rPr>
            </w:pPr>
            <w:r>
              <w:rPr>
                <w:rFonts w:hint="eastAsia" w:ascii="仿宋" w:hAnsi="仿宋" w:eastAsia="仿宋" w:cs="仿宋"/>
                <w:b w:val="0"/>
                <w:bCs w:val="0"/>
                <w:i w:val="0"/>
                <w:iCs w:val="0"/>
                <w:color w:val="000000"/>
                <w:kern w:val="0"/>
                <w:sz w:val="18"/>
                <w:szCs w:val="18"/>
                <w:u w:val="none"/>
                <w:lang w:val="en-US" w:eastAsia="zh-CN" w:bidi="ar"/>
              </w:rPr>
              <w:t xml:space="preserve">1.70 </w:t>
            </w:r>
          </w:p>
        </w:tc>
      </w:tr>
      <w:tr w14:paraId="7ADA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0" w:hRule="atLeast"/>
        </w:trPr>
        <w:tc>
          <w:tcPr>
            <w:tcW w:w="547" w:type="dxa"/>
            <w:vMerge w:val="continue"/>
            <w:shd w:val="clear" w:color="auto" w:fill="auto"/>
            <w:vAlign w:val="center"/>
          </w:tcPr>
          <w:p w14:paraId="54B9F7BD">
            <w:pPr>
              <w:jc w:val="center"/>
              <w:rPr>
                <w:rFonts w:hint="eastAsia" w:ascii="宋体" w:hAnsi="宋体" w:eastAsia="宋体" w:cs="宋体"/>
                <w:b w:val="0"/>
                <w:bCs w:val="0"/>
                <w:i w:val="0"/>
                <w:iCs w:val="0"/>
                <w:color w:val="000000"/>
                <w:sz w:val="18"/>
                <w:szCs w:val="18"/>
                <w:u w:val="none"/>
              </w:rPr>
            </w:pPr>
          </w:p>
        </w:tc>
        <w:tc>
          <w:tcPr>
            <w:tcW w:w="835" w:type="dxa"/>
            <w:vMerge w:val="continue"/>
            <w:shd w:val="clear" w:color="auto" w:fill="auto"/>
            <w:vAlign w:val="center"/>
          </w:tcPr>
          <w:p w14:paraId="782B4F20">
            <w:pPr>
              <w:jc w:val="center"/>
              <w:rPr>
                <w:rFonts w:hint="eastAsia" w:ascii="宋体" w:hAnsi="宋体" w:eastAsia="宋体" w:cs="宋体"/>
                <w:b w:val="0"/>
                <w:bCs w:val="0"/>
                <w:i w:val="0"/>
                <w:iCs w:val="0"/>
                <w:color w:val="000000"/>
                <w:sz w:val="18"/>
                <w:szCs w:val="18"/>
                <w:u w:val="none"/>
              </w:rPr>
            </w:pPr>
          </w:p>
        </w:tc>
        <w:tc>
          <w:tcPr>
            <w:tcW w:w="1322" w:type="dxa"/>
            <w:vMerge w:val="continue"/>
            <w:shd w:val="clear" w:color="auto" w:fill="auto"/>
            <w:vAlign w:val="center"/>
          </w:tcPr>
          <w:p w14:paraId="78D2CBDA">
            <w:pPr>
              <w:jc w:val="center"/>
              <w:rPr>
                <w:rFonts w:hint="eastAsia" w:ascii="宋体" w:hAnsi="宋体" w:eastAsia="宋体" w:cs="宋体"/>
                <w:b w:val="0"/>
                <w:bCs w:val="0"/>
                <w:i w:val="0"/>
                <w:iCs w:val="0"/>
                <w:color w:val="000000"/>
                <w:sz w:val="18"/>
                <w:szCs w:val="18"/>
                <w:u w:val="none"/>
              </w:rPr>
            </w:pPr>
          </w:p>
        </w:tc>
        <w:tc>
          <w:tcPr>
            <w:tcW w:w="459" w:type="dxa"/>
            <w:shd w:val="clear" w:color="auto" w:fill="auto"/>
            <w:vAlign w:val="center"/>
          </w:tcPr>
          <w:p w14:paraId="6D6B694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4</w:t>
            </w:r>
          </w:p>
        </w:tc>
        <w:tc>
          <w:tcPr>
            <w:tcW w:w="1806" w:type="dxa"/>
            <w:shd w:val="clear" w:color="auto" w:fill="auto"/>
            <w:vAlign w:val="center"/>
          </w:tcPr>
          <w:p w14:paraId="3D5120B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血细胞分析用染色液</w:t>
            </w:r>
          </w:p>
        </w:tc>
        <w:tc>
          <w:tcPr>
            <w:tcW w:w="1426" w:type="dxa"/>
            <w:shd w:val="clear" w:color="auto" w:fill="auto"/>
            <w:vAlign w:val="center"/>
          </w:tcPr>
          <w:p w14:paraId="76C6C4E4">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48mL×1（M-68P FD）</w:t>
            </w:r>
          </w:p>
        </w:tc>
        <w:tc>
          <w:tcPr>
            <w:tcW w:w="494" w:type="dxa"/>
            <w:shd w:val="clear" w:color="auto" w:fill="auto"/>
            <w:vAlign w:val="center"/>
          </w:tcPr>
          <w:p w14:paraId="4690D1C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箱</w:t>
            </w:r>
          </w:p>
        </w:tc>
        <w:tc>
          <w:tcPr>
            <w:tcW w:w="1117" w:type="dxa"/>
            <w:shd w:val="clear" w:color="auto" w:fill="auto"/>
            <w:vAlign w:val="center"/>
          </w:tcPr>
          <w:p w14:paraId="1CB9559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50</w:t>
            </w:r>
          </w:p>
        </w:tc>
        <w:tc>
          <w:tcPr>
            <w:tcW w:w="1097" w:type="dxa"/>
            <w:shd w:val="clear" w:color="auto" w:fill="auto"/>
            <w:vAlign w:val="center"/>
          </w:tcPr>
          <w:p w14:paraId="5F41982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2234</w:t>
            </w:r>
          </w:p>
        </w:tc>
        <w:tc>
          <w:tcPr>
            <w:tcW w:w="0" w:type="auto"/>
            <w:shd w:val="clear" w:color="auto" w:fill="auto"/>
            <w:noWrap/>
            <w:vAlign w:val="center"/>
          </w:tcPr>
          <w:p w14:paraId="0EDB8193">
            <w:pPr>
              <w:keepNext w:val="0"/>
              <w:keepLines w:val="0"/>
              <w:widowControl/>
              <w:suppressLineNumbers w:val="0"/>
              <w:jc w:val="center"/>
              <w:textAlignment w:val="center"/>
              <w:rPr>
                <w:rFonts w:hint="eastAsia" w:ascii="仿宋" w:hAnsi="仿宋" w:eastAsia="仿宋" w:cs="仿宋"/>
                <w:b w:val="0"/>
                <w:bCs w:val="0"/>
                <w:i w:val="0"/>
                <w:iCs w:val="0"/>
                <w:color w:val="000000"/>
                <w:sz w:val="18"/>
                <w:szCs w:val="18"/>
                <w:u w:val="none"/>
              </w:rPr>
            </w:pPr>
            <w:r>
              <w:rPr>
                <w:rFonts w:hint="eastAsia" w:ascii="仿宋" w:hAnsi="仿宋" w:eastAsia="仿宋" w:cs="仿宋"/>
                <w:b w:val="0"/>
                <w:bCs w:val="0"/>
                <w:i w:val="0"/>
                <w:iCs w:val="0"/>
                <w:color w:val="000000"/>
                <w:kern w:val="0"/>
                <w:sz w:val="18"/>
                <w:szCs w:val="18"/>
                <w:u w:val="none"/>
                <w:lang w:val="en-US" w:eastAsia="zh-CN" w:bidi="ar"/>
              </w:rPr>
              <w:t xml:space="preserve">0.86 </w:t>
            </w:r>
          </w:p>
        </w:tc>
      </w:tr>
      <w:tr w14:paraId="17B8F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0" w:hRule="atLeast"/>
        </w:trPr>
        <w:tc>
          <w:tcPr>
            <w:tcW w:w="547" w:type="dxa"/>
            <w:vMerge w:val="continue"/>
            <w:shd w:val="clear" w:color="auto" w:fill="auto"/>
            <w:vAlign w:val="center"/>
          </w:tcPr>
          <w:p w14:paraId="070190D5">
            <w:pPr>
              <w:jc w:val="center"/>
              <w:rPr>
                <w:rFonts w:hint="eastAsia" w:ascii="宋体" w:hAnsi="宋体" w:eastAsia="宋体" w:cs="宋体"/>
                <w:b w:val="0"/>
                <w:bCs w:val="0"/>
                <w:i w:val="0"/>
                <w:iCs w:val="0"/>
                <w:color w:val="000000"/>
                <w:sz w:val="18"/>
                <w:szCs w:val="18"/>
                <w:u w:val="none"/>
              </w:rPr>
            </w:pPr>
          </w:p>
        </w:tc>
        <w:tc>
          <w:tcPr>
            <w:tcW w:w="835" w:type="dxa"/>
            <w:vMerge w:val="continue"/>
            <w:shd w:val="clear" w:color="auto" w:fill="auto"/>
            <w:vAlign w:val="center"/>
          </w:tcPr>
          <w:p w14:paraId="2267E45C">
            <w:pPr>
              <w:jc w:val="center"/>
              <w:rPr>
                <w:rFonts w:hint="eastAsia" w:ascii="宋体" w:hAnsi="宋体" w:eastAsia="宋体" w:cs="宋体"/>
                <w:b w:val="0"/>
                <w:bCs w:val="0"/>
                <w:i w:val="0"/>
                <w:iCs w:val="0"/>
                <w:color w:val="000000"/>
                <w:sz w:val="18"/>
                <w:szCs w:val="18"/>
                <w:u w:val="none"/>
              </w:rPr>
            </w:pPr>
          </w:p>
        </w:tc>
        <w:tc>
          <w:tcPr>
            <w:tcW w:w="1322" w:type="dxa"/>
            <w:vMerge w:val="continue"/>
            <w:shd w:val="clear" w:color="auto" w:fill="auto"/>
            <w:vAlign w:val="center"/>
          </w:tcPr>
          <w:p w14:paraId="2990510E">
            <w:pPr>
              <w:jc w:val="center"/>
              <w:rPr>
                <w:rFonts w:hint="eastAsia" w:ascii="宋体" w:hAnsi="宋体" w:eastAsia="宋体" w:cs="宋体"/>
                <w:b w:val="0"/>
                <w:bCs w:val="0"/>
                <w:i w:val="0"/>
                <w:iCs w:val="0"/>
                <w:color w:val="000000"/>
                <w:sz w:val="18"/>
                <w:szCs w:val="18"/>
                <w:u w:val="none"/>
              </w:rPr>
            </w:pPr>
          </w:p>
        </w:tc>
        <w:tc>
          <w:tcPr>
            <w:tcW w:w="459" w:type="dxa"/>
            <w:shd w:val="clear" w:color="auto" w:fill="auto"/>
            <w:vAlign w:val="center"/>
          </w:tcPr>
          <w:p w14:paraId="36533DB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5</w:t>
            </w:r>
          </w:p>
        </w:tc>
        <w:tc>
          <w:tcPr>
            <w:tcW w:w="1806" w:type="dxa"/>
            <w:shd w:val="clear" w:color="auto" w:fill="auto"/>
            <w:vAlign w:val="center"/>
          </w:tcPr>
          <w:p w14:paraId="10A5FD8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血细胞分析用溶血剂</w:t>
            </w:r>
          </w:p>
        </w:tc>
        <w:tc>
          <w:tcPr>
            <w:tcW w:w="1426" w:type="dxa"/>
            <w:shd w:val="clear" w:color="auto" w:fill="auto"/>
            <w:vAlign w:val="center"/>
          </w:tcPr>
          <w:p w14:paraId="0FEEA6A0">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1L×4（M-68P LH）</w:t>
            </w:r>
          </w:p>
        </w:tc>
        <w:tc>
          <w:tcPr>
            <w:tcW w:w="494" w:type="dxa"/>
            <w:shd w:val="clear" w:color="auto" w:fill="auto"/>
            <w:vAlign w:val="center"/>
          </w:tcPr>
          <w:p w14:paraId="7A5D546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箱</w:t>
            </w:r>
          </w:p>
        </w:tc>
        <w:tc>
          <w:tcPr>
            <w:tcW w:w="1117" w:type="dxa"/>
            <w:shd w:val="clear" w:color="auto" w:fill="auto"/>
            <w:vAlign w:val="center"/>
          </w:tcPr>
          <w:p w14:paraId="6E39826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20</w:t>
            </w:r>
          </w:p>
        </w:tc>
        <w:tc>
          <w:tcPr>
            <w:tcW w:w="1097" w:type="dxa"/>
            <w:shd w:val="clear" w:color="auto" w:fill="auto"/>
            <w:vAlign w:val="center"/>
          </w:tcPr>
          <w:p w14:paraId="23D3FA6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2979</w:t>
            </w:r>
          </w:p>
        </w:tc>
        <w:tc>
          <w:tcPr>
            <w:tcW w:w="0" w:type="auto"/>
            <w:shd w:val="clear" w:color="auto" w:fill="auto"/>
            <w:noWrap/>
            <w:vAlign w:val="center"/>
          </w:tcPr>
          <w:p w14:paraId="5A576A2F">
            <w:pPr>
              <w:keepNext w:val="0"/>
              <w:keepLines w:val="0"/>
              <w:widowControl/>
              <w:suppressLineNumbers w:val="0"/>
              <w:jc w:val="center"/>
              <w:textAlignment w:val="center"/>
              <w:rPr>
                <w:rFonts w:hint="eastAsia" w:ascii="仿宋" w:hAnsi="仿宋" w:eastAsia="仿宋" w:cs="仿宋"/>
                <w:b w:val="0"/>
                <w:bCs w:val="0"/>
                <w:i w:val="0"/>
                <w:iCs w:val="0"/>
                <w:color w:val="000000"/>
                <w:sz w:val="18"/>
                <w:szCs w:val="18"/>
                <w:u w:val="none"/>
              </w:rPr>
            </w:pPr>
            <w:r>
              <w:rPr>
                <w:rFonts w:hint="eastAsia" w:ascii="仿宋" w:hAnsi="仿宋" w:eastAsia="仿宋" w:cs="仿宋"/>
                <w:b w:val="0"/>
                <w:bCs w:val="0"/>
                <w:i w:val="0"/>
                <w:iCs w:val="0"/>
                <w:color w:val="000000"/>
                <w:kern w:val="0"/>
                <w:sz w:val="18"/>
                <w:szCs w:val="18"/>
                <w:u w:val="none"/>
                <w:lang w:val="en-US" w:eastAsia="zh-CN" w:bidi="ar"/>
              </w:rPr>
              <w:t xml:space="preserve">0.38 </w:t>
            </w:r>
          </w:p>
        </w:tc>
      </w:tr>
      <w:tr w14:paraId="55EB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0" w:hRule="atLeast"/>
        </w:trPr>
        <w:tc>
          <w:tcPr>
            <w:tcW w:w="547" w:type="dxa"/>
            <w:vMerge w:val="continue"/>
            <w:shd w:val="clear" w:color="auto" w:fill="auto"/>
            <w:vAlign w:val="center"/>
          </w:tcPr>
          <w:p w14:paraId="7CE5241A">
            <w:pPr>
              <w:jc w:val="center"/>
              <w:rPr>
                <w:rFonts w:hint="eastAsia" w:ascii="宋体" w:hAnsi="宋体" w:eastAsia="宋体" w:cs="宋体"/>
                <w:b w:val="0"/>
                <w:bCs w:val="0"/>
                <w:i w:val="0"/>
                <w:iCs w:val="0"/>
                <w:color w:val="000000"/>
                <w:sz w:val="18"/>
                <w:szCs w:val="18"/>
                <w:u w:val="none"/>
              </w:rPr>
            </w:pPr>
          </w:p>
        </w:tc>
        <w:tc>
          <w:tcPr>
            <w:tcW w:w="835" w:type="dxa"/>
            <w:vMerge w:val="continue"/>
            <w:shd w:val="clear" w:color="auto" w:fill="auto"/>
            <w:vAlign w:val="center"/>
          </w:tcPr>
          <w:p w14:paraId="263888EB">
            <w:pPr>
              <w:jc w:val="center"/>
              <w:rPr>
                <w:rFonts w:hint="eastAsia" w:ascii="宋体" w:hAnsi="宋体" w:eastAsia="宋体" w:cs="宋体"/>
                <w:b w:val="0"/>
                <w:bCs w:val="0"/>
                <w:i w:val="0"/>
                <w:iCs w:val="0"/>
                <w:color w:val="000000"/>
                <w:sz w:val="18"/>
                <w:szCs w:val="18"/>
                <w:u w:val="none"/>
              </w:rPr>
            </w:pPr>
          </w:p>
        </w:tc>
        <w:tc>
          <w:tcPr>
            <w:tcW w:w="1322" w:type="dxa"/>
            <w:vMerge w:val="continue"/>
            <w:shd w:val="clear" w:color="auto" w:fill="auto"/>
            <w:vAlign w:val="center"/>
          </w:tcPr>
          <w:p w14:paraId="4848BA32">
            <w:pPr>
              <w:jc w:val="center"/>
              <w:rPr>
                <w:rFonts w:hint="eastAsia" w:ascii="宋体" w:hAnsi="宋体" w:eastAsia="宋体" w:cs="宋体"/>
                <w:b w:val="0"/>
                <w:bCs w:val="0"/>
                <w:i w:val="0"/>
                <w:iCs w:val="0"/>
                <w:color w:val="000000"/>
                <w:sz w:val="18"/>
                <w:szCs w:val="18"/>
                <w:u w:val="none"/>
              </w:rPr>
            </w:pPr>
          </w:p>
        </w:tc>
        <w:tc>
          <w:tcPr>
            <w:tcW w:w="459" w:type="dxa"/>
            <w:shd w:val="clear" w:color="auto" w:fill="auto"/>
            <w:vAlign w:val="center"/>
          </w:tcPr>
          <w:p w14:paraId="3379AD7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6</w:t>
            </w:r>
          </w:p>
        </w:tc>
        <w:tc>
          <w:tcPr>
            <w:tcW w:w="1806" w:type="dxa"/>
            <w:shd w:val="clear" w:color="auto" w:fill="auto"/>
            <w:vAlign w:val="center"/>
          </w:tcPr>
          <w:p w14:paraId="4A259ED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血细胞分析用稀释液</w:t>
            </w:r>
          </w:p>
        </w:tc>
        <w:tc>
          <w:tcPr>
            <w:tcW w:w="1426" w:type="dxa"/>
            <w:shd w:val="clear" w:color="auto" w:fill="auto"/>
            <w:vAlign w:val="center"/>
          </w:tcPr>
          <w:p w14:paraId="7BEBC522">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10L×1（DCT）</w:t>
            </w:r>
          </w:p>
        </w:tc>
        <w:tc>
          <w:tcPr>
            <w:tcW w:w="494" w:type="dxa"/>
            <w:shd w:val="clear" w:color="auto" w:fill="auto"/>
            <w:vAlign w:val="center"/>
          </w:tcPr>
          <w:p w14:paraId="2F6BF4F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箱</w:t>
            </w:r>
          </w:p>
        </w:tc>
        <w:tc>
          <w:tcPr>
            <w:tcW w:w="1117" w:type="dxa"/>
            <w:shd w:val="clear" w:color="auto" w:fill="auto"/>
            <w:vAlign w:val="center"/>
          </w:tcPr>
          <w:p w14:paraId="3778BE9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15</w:t>
            </w:r>
          </w:p>
        </w:tc>
        <w:tc>
          <w:tcPr>
            <w:tcW w:w="1097" w:type="dxa"/>
            <w:shd w:val="clear" w:color="auto" w:fill="auto"/>
            <w:vAlign w:val="center"/>
          </w:tcPr>
          <w:p w14:paraId="4C9861F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4100</w:t>
            </w:r>
          </w:p>
        </w:tc>
        <w:tc>
          <w:tcPr>
            <w:tcW w:w="0" w:type="auto"/>
            <w:shd w:val="clear" w:color="auto" w:fill="auto"/>
            <w:noWrap/>
            <w:vAlign w:val="center"/>
          </w:tcPr>
          <w:p w14:paraId="2EF7C6D2">
            <w:pPr>
              <w:keepNext w:val="0"/>
              <w:keepLines w:val="0"/>
              <w:widowControl/>
              <w:suppressLineNumbers w:val="0"/>
              <w:jc w:val="center"/>
              <w:textAlignment w:val="center"/>
              <w:rPr>
                <w:rFonts w:hint="eastAsia" w:ascii="仿宋" w:hAnsi="仿宋" w:eastAsia="仿宋" w:cs="仿宋"/>
                <w:b w:val="0"/>
                <w:bCs w:val="0"/>
                <w:i w:val="0"/>
                <w:iCs w:val="0"/>
                <w:color w:val="000000"/>
                <w:sz w:val="18"/>
                <w:szCs w:val="18"/>
                <w:u w:val="none"/>
              </w:rPr>
            </w:pPr>
            <w:r>
              <w:rPr>
                <w:rFonts w:hint="eastAsia" w:ascii="仿宋" w:hAnsi="仿宋" w:eastAsia="仿宋" w:cs="仿宋"/>
                <w:b w:val="0"/>
                <w:bCs w:val="0"/>
                <w:i w:val="0"/>
                <w:iCs w:val="0"/>
                <w:color w:val="000000"/>
                <w:kern w:val="0"/>
                <w:sz w:val="18"/>
                <w:szCs w:val="18"/>
                <w:u w:val="none"/>
                <w:lang w:val="en-US" w:eastAsia="zh-CN" w:bidi="ar"/>
              </w:rPr>
              <w:t xml:space="preserve">0.54 </w:t>
            </w:r>
          </w:p>
        </w:tc>
      </w:tr>
      <w:tr w14:paraId="4C608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0" w:hRule="atLeast"/>
        </w:trPr>
        <w:tc>
          <w:tcPr>
            <w:tcW w:w="547" w:type="dxa"/>
            <w:vMerge w:val="continue"/>
            <w:shd w:val="clear" w:color="auto" w:fill="auto"/>
            <w:vAlign w:val="center"/>
          </w:tcPr>
          <w:p w14:paraId="642F67D3">
            <w:pPr>
              <w:jc w:val="center"/>
              <w:rPr>
                <w:rFonts w:hint="eastAsia" w:ascii="宋体" w:hAnsi="宋体" w:eastAsia="宋体" w:cs="宋体"/>
                <w:b w:val="0"/>
                <w:bCs w:val="0"/>
                <w:i w:val="0"/>
                <w:iCs w:val="0"/>
                <w:color w:val="000000"/>
                <w:sz w:val="18"/>
                <w:szCs w:val="18"/>
                <w:u w:val="none"/>
              </w:rPr>
            </w:pPr>
          </w:p>
        </w:tc>
        <w:tc>
          <w:tcPr>
            <w:tcW w:w="835" w:type="dxa"/>
            <w:vMerge w:val="continue"/>
            <w:shd w:val="clear" w:color="auto" w:fill="auto"/>
            <w:vAlign w:val="center"/>
          </w:tcPr>
          <w:p w14:paraId="6F04DB80">
            <w:pPr>
              <w:jc w:val="center"/>
              <w:rPr>
                <w:rFonts w:hint="eastAsia" w:ascii="宋体" w:hAnsi="宋体" w:eastAsia="宋体" w:cs="宋体"/>
                <w:b w:val="0"/>
                <w:bCs w:val="0"/>
                <w:i w:val="0"/>
                <w:iCs w:val="0"/>
                <w:color w:val="000000"/>
                <w:sz w:val="18"/>
                <w:szCs w:val="18"/>
                <w:u w:val="none"/>
              </w:rPr>
            </w:pPr>
          </w:p>
        </w:tc>
        <w:tc>
          <w:tcPr>
            <w:tcW w:w="1322" w:type="dxa"/>
            <w:vMerge w:val="continue"/>
            <w:shd w:val="clear" w:color="auto" w:fill="auto"/>
            <w:vAlign w:val="center"/>
          </w:tcPr>
          <w:p w14:paraId="633B244A">
            <w:pPr>
              <w:jc w:val="center"/>
              <w:rPr>
                <w:rFonts w:hint="eastAsia" w:ascii="宋体" w:hAnsi="宋体" w:eastAsia="宋体" w:cs="宋体"/>
                <w:b w:val="0"/>
                <w:bCs w:val="0"/>
                <w:i w:val="0"/>
                <w:iCs w:val="0"/>
                <w:color w:val="000000"/>
                <w:sz w:val="18"/>
                <w:szCs w:val="18"/>
                <w:u w:val="none"/>
              </w:rPr>
            </w:pPr>
          </w:p>
        </w:tc>
        <w:tc>
          <w:tcPr>
            <w:tcW w:w="459" w:type="dxa"/>
            <w:shd w:val="clear" w:color="auto" w:fill="auto"/>
            <w:vAlign w:val="center"/>
          </w:tcPr>
          <w:p w14:paraId="203B01E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7</w:t>
            </w:r>
          </w:p>
        </w:tc>
        <w:tc>
          <w:tcPr>
            <w:tcW w:w="1806" w:type="dxa"/>
            <w:shd w:val="clear" w:color="auto" w:fill="auto"/>
            <w:vAlign w:val="center"/>
          </w:tcPr>
          <w:p w14:paraId="4B80FBA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血细胞分析用染色液</w:t>
            </w:r>
          </w:p>
        </w:tc>
        <w:tc>
          <w:tcPr>
            <w:tcW w:w="1426" w:type="dxa"/>
            <w:shd w:val="clear" w:color="auto" w:fill="auto"/>
            <w:vAlign w:val="center"/>
          </w:tcPr>
          <w:p w14:paraId="34F05B47">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12mL×1（M-68P FR）</w:t>
            </w:r>
          </w:p>
        </w:tc>
        <w:tc>
          <w:tcPr>
            <w:tcW w:w="494" w:type="dxa"/>
            <w:shd w:val="clear" w:color="auto" w:fill="auto"/>
            <w:vAlign w:val="center"/>
          </w:tcPr>
          <w:p w14:paraId="2573CA8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箱</w:t>
            </w:r>
          </w:p>
        </w:tc>
        <w:tc>
          <w:tcPr>
            <w:tcW w:w="1117" w:type="dxa"/>
            <w:shd w:val="clear" w:color="auto" w:fill="auto"/>
            <w:vAlign w:val="center"/>
          </w:tcPr>
          <w:p w14:paraId="6CC86B0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10</w:t>
            </w:r>
          </w:p>
        </w:tc>
        <w:tc>
          <w:tcPr>
            <w:tcW w:w="1097" w:type="dxa"/>
            <w:shd w:val="clear" w:color="auto" w:fill="auto"/>
            <w:vAlign w:val="center"/>
          </w:tcPr>
          <w:p w14:paraId="6FCE58E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2527</w:t>
            </w:r>
          </w:p>
        </w:tc>
        <w:tc>
          <w:tcPr>
            <w:tcW w:w="0" w:type="auto"/>
            <w:shd w:val="clear" w:color="auto" w:fill="auto"/>
            <w:noWrap/>
            <w:vAlign w:val="center"/>
          </w:tcPr>
          <w:p w14:paraId="4FA66B0D">
            <w:pPr>
              <w:keepNext w:val="0"/>
              <w:keepLines w:val="0"/>
              <w:widowControl/>
              <w:suppressLineNumbers w:val="0"/>
              <w:jc w:val="center"/>
              <w:textAlignment w:val="center"/>
              <w:rPr>
                <w:rFonts w:hint="eastAsia" w:ascii="仿宋" w:hAnsi="仿宋" w:eastAsia="仿宋" w:cs="仿宋"/>
                <w:b w:val="0"/>
                <w:bCs w:val="0"/>
                <w:i w:val="0"/>
                <w:iCs w:val="0"/>
                <w:color w:val="000000"/>
                <w:sz w:val="18"/>
                <w:szCs w:val="18"/>
                <w:u w:val="none"/>
              </w:rPr>
            </w:pPr>
            <w:r>
              <w:rPr>
                <w:rFonts w:hint="eastAsia" w:ascii="仿宋" w:hAnsi="仿宋" w:eastAsia="仿宋" w:cs="仿宋"/>
                <w:b w:val="0"/>
                <w:bCs w:val="0"/>
                <w:i w:val="0"/>
                <w:iCs w:val="0"/>
                <w:color w:val="000000"/>
                <w:kern w:val="0"/>
                <w:sz w:val="18"/>
                <w:szCs w:val="18"/>
                <w:u w:val="none"/>
                <w:lang w:val="en-US" w:eastAsia="zh-CN" w:bidi="ar"/>
              </w:rPr>
              <w:t xml:space="preserve">4.21 </w:t>
            </w:r>
          </w:p>
        </w:tc>
      </w:tr>
      <w:tr w14:paraId="2F9B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0" w:hRule="atLeast"/>
        </w:trPr>
        <w:tc>
          <w:tcPr>
            <w:tcW w:w="547" w:type="dxa"/>
            <w:vMerge w:val="continue"/>
            <w:shd w:val="clear" w:color="auto" w:fill="auto"/>
            <w:vAlign w:val="center"/>
          </w:tcPr>
          <w:p w14:paraId="7DE31653">
            <w:pPr>
              <w:jc w:val="center"/>
              <w:rPr>
                <w:rFonts w:hint="eastAsia" w:ascii="宋体" w:hAnsi="宋体" w:eastAsia="宋体" w:cs="宋体"/>
                <w:b w:val="0"/>
                <w:bCs w:val="0"/>
                <w:i w:val="0"/>
                <w:iCs w:val="0"/>
                <w:color w:val="000000"/>
                <w:sz w:val="18"/>
                <w:szCs w:val="18"/>
                <w:u w:val="none"/>
              </w:rPr>
            </w:pPr>
          </w:p>
        </w:tc>
        <w:tc>
          <w:tcPr>
            <w:tcW w:w="835" w:type="dxa"/>
            <w:vMerge w:val="continue"/>
            <w:shd w:val="clear" w:color="auto" w:fill="auto"/>
            <w:vAlign w:val="center"/>
          </w:tcPr>
          <w:p w14:paraId="165B24BE">
            <w:pPr>
              <w:jc w:val="center"/>
              <w:rPr>
                <w:rFonts w:hint="eastAsia" w:ascii="宋体" w:hAnsi="宋体" w:eastAsia="宋体" w:cs="宋体"/>
                <w:b w:val="0"/>
                <w:bCs w:val="0"/>
                <w:i w:val="0"/>
                <w:iCs w:val="0"/>
                <w:color w:val="000000"/>
                <w:sz w:val="18"/>
                <w:szCs w:val="18"/>
                <w:u w:val="none"/>
              </w:rPr>
            </w:pPr>
          </w:p>
        </w:tc>
        <w:tc>
          <w:tcPr>
            <w:tcW w:w="1322" w:type="dxa"/>
            <w:vMerge w:val="continue"/>
            <w:shd w:val="clear" w:color="auto" w:fill="auto"/>
            <w:vAlign w:val="center"/>
          </w:tcPr>
          <w:p w14:paraId="59196DC5">
            <w:pPr>
              <w:jc w:val="center"/>
              <w:rPr>
                <w:rFonts w:hint="eastAsia" w:ascii="宋体" w:hAnsi="宋体" w:eastAsia="宋体" w:cs="宋体"/>
                <w:b w:val="0"/>
                <w:bCs w:val="0"/>
                <w:i w:val="0"/>
                <w:iCs w:val="0"/>
                <w:color w:val="000000"/>
                <w:sz w:val="18"/>
                <w:szCs w:val="18"/>
                <w:u w:val="none"/>
              </w:rPr>
            </w:pPr>
          </w:p>
        </w:tc>
        <w:tc>
          <w:tcPr>
            <w:tcW w:w="459" w:type="dxa"/>
            <w:shd w:val="clear" w:color="auto" w:fill="auto"/>
            <w:vAlign w:val="center"/>
          </w:tcPr>
          <w:p w14:paraId="58D169A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8</w:t>
            </w:r>
          </w:p>
        </w:tc>
        <w:tc>
          <w:tcPr>
            <w:tcW w:w="1806" w:type="dxa"/>
            <w:shd w:val="clear" w:color="auto" w:fill="auto"/>
            <w:vAlign w:val="center"/>
          </w:tcPr>
          <w:p w14:paraId="15583E4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血细胞分析用稀释液</w:t>
            </w:r>
          </w:p>
        </w:tc>
        <w:tc>
          <w:tcPr>
            <w:tcW w:w="1426" w:type="dxa"/>
            <w:shd w:val="clear" w:color="auto" w:fill="auto"/>
            <w:vAlign w:val="center"/>
          </w:tcPr>
          <w:p w14:paraId="54510FD1">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1L×1（M-68P DR）</w:t>
            </w:r>
          </w:p>
        </w:tc>
        <w:tc>
          <w:tcPr>
            <w:tcW w:w="494" w:type="dxa"/>
            <w:shd w:val="clear" w:color="auto" w:fill="auto"/>
            <w:vAlign w:val="center"/>
          </w:tcPr>
          <w:p w14:paraId="61B98C9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箱</w:t>
            </w:r>
          </w:p>
        </w:tc>
        <w:tc>
          <w:tcPr>
            <w:tcW w:w="1117" w:type="dxa"/>
            <w:shd w:val="clear" w:color="auto" w:fill="auto"/>
            <w:vAlign w:val="center"/>
          </w:tcPr>
          <w:p w14:paraId="0CC1C65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10</w:t>
            </w:r>
          </w:p>
        </w:tc>
        <w:tc>
          <w:tcPr>
            <w:tcW w:w="1097" w:type="dxa"/>
            <w:shd w:val="clear" w:color="auto" w:fill="auto"/>
            <w:vAlign w:val="center"/>
          </w:tcPr>
          <w:p w14:paraId="3E6EACC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745</w:t>
            </w:r>
          </w:p>
        </w:tc>
        <w:tc>
          <w:tcPr>
            <w:tcW w:w="0" w:type="auto"/>
            <w:shd w:val="clear" w:color="auto" w:fill="auto"/>
            <w:noWrap/>
            <w:vAlign w:val="center"/>
          </w:tcPr>
          <w:p w14:paraId="6A1AED05">
            <w:pPr>
              <w:keepNext w:val="0"/>
              <w:keepLines w:val="0"/>
              <w:widowControl/>
              <w:suppressLineNumbers w:val="0"/>
              <w:jc w:val="center"/>
              <w:textAlignment w:val="center"/>
              <w:rPr>
                <w:rFonts w:hint="eastAsia" w:ascii="仿宋" w:hAnsi="仿宋" w:eastAsia="仿宋" w:cs="仿宋"/>
                <w:b w:val="0"/>
                <w:bCs w:val="0"/>
                <w:i w:val="0"/>
                <w:iCs w:val="0"/>
                <w:color w:val="000000"/>
                <w:sz w:val="18"/>
                <w:szCs w:val="18"/>
                <w:u w:val="none"/>
              </w:rPr>
            </w:pPr>
            <w:r>
              <w:rPr>
                <w:rFonts w:hint="eastAsia" w:ascii="仿宋" w:hAnsi="仿宋" w:eastAsia="仿宋" w:cs="仿宋"/>
                <w:b w:val="0"/>
                <w:bCs w:val="0"/>
                <w:i w:val="0"/>
                <w:iCs w:val="0"/>
                <w:color w:val="000000"/>
                <w:kern w:val="0"/>
                <w:sz w:val="18"/>
                <w:szCs w:val="18"/>
                <w:u w:val="none"/>
                <w:lang w:val="en-US" w:eastAsia="zh-CN" w:bidi="ar"/>
              </w:rPr>
              <w:t xml:space="preserve">1.49 </w:t>
            </w:r>
          </w:p>
        </w:tc>
      </w:tr>
      <w:tr w14:paraId="4354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0" w:hRule="atLeast"/>
        </w:trPr>
        <w:tc>
          <w:tcPr>
            <w:tcW w:w="547" w:type="dxa"/>
            <w:vMerge w:val="continue"/>
            <w:shd w:val="clear" w:color="auto" w:fill="auto"/>
            <w:vAlign w:val="center"/>
          </w:tcPr>
          <w:p w14:paraId="4F6B37D9">
            <w:pPr>
              <w:jc w:val="center"/>
              <w:rPr>
                <w:rFonts w:hint="eastAsia" w:ascii="宋体" w:hAnsi="宋体" w:eastAsia="宋体" w:cs="宋体"/>
                <w:b w:val="0"/>
                <w:bCs w:val="0"/>
                <w:i w:val="0"/>
                <w:iCs w:val="0"/>
                <w:color w:val="000000"/>
                <w:sz w:val="18"/>
                <w:szCs w:val="18"/>
                <w:u w:val="none"/>
              </w:rPr>
            </w:pPr>
          </w:p>
        </w:tc>
        <w:tc>
          <w:tcPr>
            <w:tcW w:w="835" w:type="dxa"/>
            <w:vMerge w:val="continue"/>
            <w:shd w:val="clear" w:color="auto" w:fill="auto"/>
            <w:vAlign w:val="center"/>
          </w:tcPr>
          <w:p w14:paraId="3391D54E">
            <w:pPr>
              <w:jc w:val="center"/>
              <w:rPr>
                <w:rFonts w:hint="eastAsia" w:ascii="宋体" w:hAnsi="宋体" w:eastAsia="宋体" w:cs="宋体"/>
                <w:b w:val="0"/>
                <w:bCs w:val="0"/>
                <w:i w:val="0"/>
                <w:iCs w:val="0"/>
                <w:color w:val="000000"/>
                <w:sz w:val="18"/>
                <w:szCs w:val="18"/>
                <w:u w:val="none"/>
              </w:rPr>
            </w:pPr>
          </w:p>
        </w:tc>
        <w:tc>
          <w:tcPr>
            <w:tcW w:w="1322" w:type="dxa"/>
            <w:vMerge w:val="continue"/>
            <w:shd w:val="clear" w:color="auto" w:fill="auto"/>
            <w:vAlign w:val="center"/>
          </w:tcPr>
          <w:p w14:paraId="44F16D69">
            <w:pPr>
              <w:jc w:val="center"/>
              <w:rPr>
                <w:rFonts w:hint="eastAsia" w:ascii="宋体" w:hAnsi="宋体" w:eastAsia="宋体" w:cs="宋体"/>
                <w:b w:val="0"/>
                <w:bCs w:val="0"/>
                <w:i w:val="0"/>
                <w:iCs w:val="0"/>
                <w:color w:val="000000"/>
                <w:sz w:val="18"/>
                <w:szCs w:val="18"/>
                <w:u w:val="none"/>
              </w:rPr>
            </w:pPr>
          </w:p>
        </w:tc>
        <w:tc>
          <w:tcPr>
            <w:tcW w:w="459" w:type="dxa"/>
            <w:shd w:val="clear" w:color="auto" w:fill="auto"/>
            <w:vAlign w:val="center"/>
          </w:tcPr>
          <w:p w14:paraId="459B8A1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9</w:t>
            </w:r>
          </w:p>
        </w:tc>
        <w:tc>
          <w:tcPr>
            <w:tcW w:w="1806" w:type="dxa"/>
            <w:shd w:val="clear" w:color="auto" w:fill="auto"/>
            <w:vAlign w:val="center"/>
          </w:tcPr>
          <w:p w14:paraId="73F9435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清洗液</w:t>
            </w:r>
          </w:p>
        </w:tc>
        <w:tc>
          <w:tcPr>
            <w:tcW w:w="1426" w:type="dxa"/>
            <w:shd w:val="clear" w:color="auto" w:fill="auto"/>
            <w:vAlign w:val="center"/>
          </w:tcPr>
          <w:p w14:paraId="55AB0BA7">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1L×1(ESR)</w:t>
            </w:r>
          </w:p>
        </w:tc>
        <w:tc>
          <w:tcPr>
            <w:tcW w:w="494" w:type="dxa"/>
            <w:shd w:val="clear" w:color="auto" w:fill="auto"/>
            <w:vAlign w:val="center"/>
          </w:tcPr>
          <w:p w14:paraId="1966567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桶</w:t>
            </w:r>
          </w:p>
        </w:tc>
        <w:tc>
          <w:tcPr>
            <w:tcW w:w="1117" w:type="dxa"/>
            <w:shd w:val="clear" w:color="auto" w:fill="auto"/>
            <w:vAlign w:val="center"/>
          </w:tcPr>
          <w:p w14:paraId="50D739F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10</w:t>
            </w:r>
          </w:p>
        </w:tc>
        <w:tc>
          <w:tcPr>
            <w:tcW w:w="1097" w:type="dxa"/>
            <w:shd w:val="clear" w:color="auto" w:fill="auto"/>
            <w:vAlign w:val="center"/>
          </w:tcPr>
          <w:p w14:paraId="1877DB1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1000</w:t>
            </w:r>
          </w:p>
        </w:tc>
        <w:tc>
          <w:tcPr>
            <w:tcW w:w="0" w:type="auto"/>
            <w:shd w:val="clear" w:color="auto" w:fill="auto"/>
            <w:noWrap/>
            <w:vAlign w:val="center"/>
          </w:tcPr>
          <w:p w14:paraId="7CDC3CC4">
            <w:pPr>
              <w:keepNext w:val="0"/>
              <w:keepLines w:val="0"/>
              <w:widowControl/>
              <w:suppressLineNumbers w:val="0"/>
              <w:jc w:val="center"/>
              <w:textAlignment w:val="center"/>
              <w:rPr>
                <w:rFonts w:hint="eastAsia" w:ascii="仿宋" w:hAnsi="仿宋" w:eastAsia="仿宋" w:cs="仿宋"/>
                <w:b w:val="0"/>
                <w:bCs w:val="0"/>
                <w:i w:val="0"/>
                <w:iCs w:val="0"/>
                <w:color w:val="000000"/>
                <w:sz w:val="18"/>
                <w:szCs w:val="18"/>
                <w:u w:val="none"/>
              </w:rPr>
            </w:pPr>
            <w:r>
              <w:rPr>
                <w:rFonts w:hint="eastAsia" w:ascii="仿宋" w:hAnsi="仿宋" w:eastAsia="仿宋" w:cs="仿宋"/>
                <w:b w:val="0"/>
                <w:bCs w:val="0"/>
                <w:i w:val="0"/>
                <w:iCs w:val="0"/>
                <w:color w:val="000000"/>
                <w:kern w:val="0"/>
                <w:sz w:val="18"/>
                <w:szCs w:val="18"/>
                <w:u w:val="none"/>
                <w:lang w:val="en-US" w:eastAsia="zh-CN" w:bidi="ar"/>
              </w:rPr>
              <w:t xml:space="preserve">2.22 </w:t>
            </w:r>
          </w:p>
        </w:tc>
      </w:tr>
    </w:tbl>
    <w:p w14:paraId="4B66E224">
      <w:pPr>
        <w:pStyle w:val="3"/>
        <w:spacing w:line="240" w:lineRule="auto"/>
        <w:ind w:left="400"/>
        <w:rPr>
          <w:rFonts w:hint="eastAsia" w:asciiTheme="majorEastAsia" w:hAnsiTheme="majorEastAsia" w:eastAsiaTheme="majorEastAsia"/>
        </w:rPr>
      </w:pPr>
    </w:p>
    <w:p w14:paraId="70B31E40">
      <w:pPr>
        <w:adjustRightInd w:val="0"/>
        <w:snapToGrid w:val="0"/>
        <w:jc w:val="center"/>
        <w:rPr>
          <w:rFonts w:cs="方正小标宋简体" w:asciiTheme="majorEastAsia" w:hAnsiTheme="majorEastAsia" w:eastAsiaTheme="majorEastAsia"/>
          <w:b/>
          <w:sz w:val="36"/>
          <w:szCs w:val="36"/>
        </w:rPr>
      </w:pPr>
    </w:p>
    <w:p w14:paraId="3E7AE6E1">
      <w:pPr>
        <w:adjustRightInd w:val="0"/>
        <w:snapToGrid w:val="0"/>
        <w:jc w:val="center"/>
        <w:rPr>
          <w:rFonts w:asciiTheme="majorEastAsia" w:hAnsiTheme="majorEastAsia" w:eastAsiaTheme="majorEastAsia"/>
          <w:bCs/>
          <w:sz w:val="28"/>
        </w:rPr>
      </w:pPr>
      <w:r>
        <w:rPr>
          <w:rFonts w:hint="eastAsia" w:cs="方正小标宋简体" w:asciiTheme="majorEastAsia" w:hAnsiTheme="majorEastAsia" w:eastAsiaTheme="majorEastAsia"/>
          <w:b/>
          <w:sz w:val="36"/>
          <w:szCs w:val="36"/>
        </w:rPr>
        <w:t>第四部分 设备主要维修配件、易损配件</w:t>
      </w:r>
    </w:p>
    <w:tbl>
      <w:tblPr>
        <w:tblStyle w:val="10"/>
        <w:tblW w:w="1031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2247"/>
        <w:gridCol w:w="2005"/>
        <w:gridCol w:w="1843"/>
        <w:gridCol w:w="1417"/>
        <w:gridCol w:w="1812"/>
      </w:tblGrid>
      <w:tr w14:paraId="55A0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vAlign w:val="center"/>
          </w:tcPr>
          <w:p w14:paraId="78C4D780">
            <w:pPr>
              <w:adjustRightInd w:val="0"/>
              <w:snapToGrid w:val="0"/>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247" w:type="dxa"/>
            <w:vAlign w:val="center"/>
          </w:tcPr>
          <w:p w14:paraId="13173F6C">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2005" w:type="dxa"/>
            <w:vAlign w:val="center"/>
          </w:tcPr>
          <w:p w14:paraId="5B119F5A">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843" w:type="dxa"/>
            <w:vAlign w:val="center"/>
          </w:tcPr>
          <w:p w14:paraId="4B5C5CAB">
            <w:pPr>
              <w:adjustRightInd w:val="0"/>
              <w:snapToGrid w:val="0"/>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417" w:type="dxa"/>
            <w:vAlign w:val="center"/>
          </w:tcPr>
          <w:p w14:paraId="1030C398">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812" w:type="dxa"/>
            <w:vAlign w:val="center"/>
          </w:tcPr>
          <w:p w14:paraId="68943CEE">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4ED8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shd w:val="clear" w:color="auto" w:fill="FFFFFF" w:themeFill="background1"/>
          </w:tcPr>
          <w:p w14:paraId="10649567">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247" w:type="dxa"/>
            <w:shd w:val="clear" w:color="auto" w:fill="FFFFFF" w:themeFill="background1"/>
          </w:tcPr>
          <w:p w14:paraId="14C85F7D">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穿刺针</w:t>
            </w:r>
          </w:p>
        </w:tc>
        <w:tc>
          <w:tcPr>
            <w:tcW w:w="2005" w:type="dxa"/>
            <w:shd w:val="clear" w:color="auto" w:fill="FFFFFF" w:themeFill="background1"/>
          </w:tcPr>
          <w:p w14:paraId="06B6C25D">
            <w:pPr>
              <w:widowControl/>
              <w:adjustRightInd w:val="0"/>
              <w:snapToGrid w:val="0"/>
              <w:jc w:val="center"/>
              <w:rPr>
                <w:rFonts w:cs="方正小标宋简体" w:asciiTheme="majorEastAsia" w:hAnsiTheme="majorEastAsia" w:eastAsiaTheme="majorEastAsia"/>
                <w:sz w:val="24"/>
              </w:rPr>
            </w:pPr>
          </w:p>
        </w:tc>
        <w:tc>
          <w:tcPr>
            <w:tcW w:w="1843" w:type="dxa"/>
            <w:shd w:val="clear" w:color="auto" w:fill="FFFFFF" w:themeFill="background1"/>
          </w:tcPr>
          <w:p w14:paraId="22C54B69">
            <w:pPr>
              <w:widowControl/>
              <w:adjustRightInd w:val="0"/>
              <w:snapToGrid w:val="0"/>
              <w:jc w:val="center"/>
              <w:rPr>
                <w:rFonts w:cs="方正小标宋简体" w:asciiTheme="majorEastAsia" w:hAnsiTheme="majorEastAsia" w:eastAsiaTheme="majorEastAsia"/>
                <w:sz w:val="24"/>
              </w:rPr>
            </w:pPr>
          </w:p>
        </w:tc>
        <w:tc>
          <w:tcPr>
            <w:tcW w:w="1417" w:type="dxa"/>
            <w:shd w:val="clear" w:color="auto" w:fill="FFFFFF" w:themeFill="background1"/>
          </w:tcPr>
          <w:p w14:paraId="1AF971B9">
            <w:pPr>
              <w:widowControl/>
              <w:adjustRightInd w:val="0"/>
              <w:snapToGrid w:val="0"/>
              <w:jc w:val="center"/>
              <w:rPr>
                <w:rFonts w:cs="方正小标宋简体" w:asciiTheme="majorEastAsia" w:hAnsiTheme="majorEastAsia" w:eastAsiaTheme="majorEastAsia"/>
                <w:sz w:val="24"/>
              </w:rPr>
            </w:pPr>
          </w:p>
        </w:tc>
        <w:tc>
          <w:tcPr>
            <w:tcW w:w="1812" w:type="dxa"/>
            <w:shd w:val="clear" w:color="auto" w:fill="FFFFFF" w:themeFill="background1"/>
          </w:tcPr>
          <w:p w14:paraId="60CBE2EC">
            <w:pPr>
              <w:widowControl/>
              <w:adjustRightInd w:val="0"/>
              <w:snapToGrid w:val="0"/>
              <w:jc w:val="center"/>
              <w:rPr>
                <w:rFonts w:cs="方正小标宋简体" w:asciiTheme="majorEastAsia" w:hAnsiTheme="majorEastAsia" w:eastAsiaTheme="majorEastAsia"/>
                <w:sz w:val="24"/>
              </w:rPr>
            </w:pPr>
          </w:p>
        </w:tc>
      </w:tr>
      <w:tr w14:paraId="08C0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tcPr>
          <w:p w14:paraId="4096AE2D">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2</w:t>
            </w:r>
          </w:p>
        </w:tc>
        <w:tc>
          <w:tcPr>
            <w:tcW w:w="2247" w:type="dxa"/>
          </w:tcPr>
          <w:p w14:paraId="3A45B67E">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废液泵</w:t>
            </w:r>
          </w:p>
        </w:tc>
        <w:tc>
          <w:tcPr>
            <w:tcW w:w="2005" w:type="dxa"/>
          </w:tcPr>
          <w:p w14:paraId="705C7517">
            <w:pPr>
              <w:widowControl/>
              <w:adjustRightInd w:val="0"/>
              <w:snapToGrid w:val="0"/>
              <w:jc w:val="center"/>
              <w:rPr>
                <w:rFonts w:cs="方正小标宋简体" w:asciiTheme="majorEastAsia" w:hAnsiTheme="majorEastAsia" w:eastAsiaTheme="majorEastAsia"/>
                <w:sz w:val="24"/>
              </w:rPr>
            </w:pPr>
          </w:p>
        </w:tc>
        <w:tc>
          <w:tcPr>
            <w:tcW w:w="1843" w:type="dxa"/>
          </w:tcPr>
          <w:p w14:paraId="5E2BA29C">
            <w:pPr>
              <w:widowControl/>
              <w:adjustRightInd w:val="0"/>
              <w:snapToGrid w:val="0"/>
              <w:jc w:val="center"/>
              <w:rPr>
                <w:rFonts w:cs="方正小标宋简体" w:asciiTheme="majorEastAsia" w:hAnsiTheme="majorEastAsia" w:eastAsiaTheme="majorEastAsia"/>
                <w:sz w:val="24"/>
              </w:rPr>
            </w:pPr>
          </w:p>
        </w:tc>
        <w:tc>
          <w:tcPr>
            <w:tcW w:w="1417" w:type="dxa"/>
          </w:tcPr>
          <w:p w14:paraId="4E1547A0">
            <w:pPr>
              <w:widowControl/>
              <w:adjustRightInd w:val="0"/>
              <w:snapToGrid w:val="0"/>
              <w:jc w:val="center"/>
              <w:rPr>
                <w:rFonts w:cs="方正小标宋简体" w:asciiTheme="majorEastAsia" w:hAnsiTheme="majorEastAsia" w:eastAsiaTheme="majorEastAsia"/>
                <w:sz w:val="24"/>
              </w:rPr>
            </w:pPr>
          </w:p>
        </w:tc>
        <w:tc>
          <w:tcPr>
            <w:tcW w:w="1812" w:type="dxa"/>
          </w:tcPr>
          <w:p w14:paraId="0773710D">
            <w:pPr>
              <w:widowControl/>
              <w:adjustRightInd w:val="0"/>
              <w:snapToGrid w:val="0"/>
              <w:jc w:val="center"/>
              <w:rPr>
                <w:rFonts w:cs="方正小标宋简体" w:asciiTheme="majorEastAsia" w:hAnsiTheme="majorEastAsia" w:eastAsiaTheme="majorEastAsia"/>
                <w:sz w:val="24"/>
              </w:rPr>
            </w:pPr>
          </w:p>
        </w:tc>
      </w:tr>
      <w:tr w14:paraId="37CA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tcPr>
          <w:p w14:paraId="18E9A673">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3</w:t>
            </w:r>
          </w:p>
        </w:tc>
        <w:tc>
          <w:tcPr>
            <w:tcW w:w="2247" w:type="dxa"/>
          </w:tcPr>
          <w:p w14:paraId="56A344F8">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两通阀</w:t>
            </w:r>
          </w:p>
        </w:tc>
        <w:tc>
          <w:tcPr>
            <w:tcW w:w="2005" w:type="dxa"/>
          </w:tcPr>
          <w:p w14:paraId="5099CAF7">
            <w:pPr>
              <w:widowControl/>
              <w:adjustRightInd w:val="0"/>
              <w:snapToGrid w:val="0"/>
              <w:jc w:val="center"/>
              <w:rPr>
                <w:rFonts w:cs="方正小标宋简体" w:asciiTheme="majorEastAsia" w:hAnsiTheme="majorEastAsia" w:eastAsiaTheme="majorEastAsia"/>
                <w:sz w:val="24"/>
              </w:rPr>
            </w:pPr>
          </w:p>
        </w:tc>
        <w:tc>
          <w:tcPr>
            <w:tcW w:w="1843" w:type="dxa"/>
          </w:tcPr>
          <w:p w14:paraId="370C3CA6">
            <w:pPr>
              <w:widowControl/>
              <w:adjustRightInd w:val="0"/>
              <w:snapToGrid w:val="0"/>
              <w:jc w:val="center"/>
              <w:rPr>
                <w:rFonts w:cs="方正小标宋简体" w:asciiTheme="majorEastAsia" w:hAnsiTheme="majorEastAsia" w:eastAsiaTheme="majorEastAsia"/>
                <w:sz w:val="24"/>
              </w:rPr>
            </w:pPr>
          </w:p>
        </w:tc>
        <w:tc>
          <w:tcPr>
            <w:tcW w:w="1417" w:type="dxa"/>
          </w:tcPr>
          <w:p w14:paraId="6B7F7AC1">
            <w:pPr>
              <w:widowControl/>
              <w:adjustRightInd w:val="0"/>
              <w:snapToGrid w:val="0"/>
              <w:jc w:val="center"/>
              <w:rPr>
                <w:rFonts w:cs="方正小标宋简体" w:asciiTheme="majorEastAsia" w:hAnsiTheme="majorEastAsia" w:eastAsiaTheme="majorEastAsia"/>
                <w:sz w:val="24"/>
              </w:rPr>
            </w:pPr>
          </w:p>
        </w:tc>
        <w:tc>
          <w:tcPr>
            <w:tcW w:w="1812" w:type="dxa"/>
          </w:tcPr>
          <w:p w14:paraId="14951EC6">
            <w:pPr>
              <w:widowControl/>
              <w:adjustRightInd w:val="0"/>
              <w:snapToGrid w:val="0"/>
              <w:jc w:val="center"/>
              <w:rPr>
                <w:rFonts w:cs="方正小标宋简体" w:asciiTheme="majorEastAsia" w:hAnsiTheme="majorEastAsia" w:eastAsiaTheme="majorEastAsia"/>
                <w:sz w:val="24"/>
              </w:rPr>
            </w:pPr>
          </w:p>
        </w:tc>
      </w:tr>
    </w:tbl>
    <w:p w14:paraId="34218D30">
      <w:pPr>
        <w:adjustRightInd w:val="0"/>
        <w:snapToGrid w:val="0"/>
        <w:jc w:val="center"/>
        <w:rPr>
          <w:rFonts w:asciiTheme="majorEastAsia" w:hAnsiTheme="majorEastAsia" w:eastAsiaTheme="majorEastAsia"/>
          <w:b/>
          <w:sz w:val="24"/>
          <w:szCs w:val="21"/>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349CC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1" w:type="dxa"/>
            <w:vAlign w:val="center"/>
          </w:tcPr>
          <w:p w14:paraId="0FC215C0">
            <w:pPr>
              <w:adjustRightInd w:val="0"/>
              <w:snapToGrid w:val="0"/>
              <w:jc w:val="center"/>
              <w:rPr>
                <w:rFonts w:asciiTheme="majorEastAsia" w:hAnsiTheme="majorEastAsia" w:eastAsiaTheme="majorEastAsia"/>
                <w:b/>
                <w:sz w:val="24"/>
              </w:rPr>
            </w:pPr>
            <w:r>
              <w:rPr>
                <w:rFonts w:hint="eastAsia" w:asciiTheme="majorEastAsia" w:hAnsiTheme="majorEastAsia" w:eastAsiaTheme="majorEastAsia"/>
                <w:b/>
                <w:sz w:val="24"/>
              </w:rPr>
              <w:t>序号</w:t>
            </w:r>
          </w:p>
        </w:tc>
        <w:tc>
          <w:tcPr>
            <w:tcW w:w="4109" w:type="dxa"/>
            <w:vAlign w:val="center"/>
          </w:tcPr>
          <w:p w14:paraId="3BF138E9">
            <w:pPr>
              <w:adjustRightInd w:val="0"/>
              <w:snapToGrid w:val="0"/>
              <w:jc w:val="center"/>
              <w:rPr>
                <w:rFonts w:asciiTheme="majorEastAsia" w:hAnsiTheme="majorEastAsia" w:eastAsiaTheme="majorEastAsia"/>
                <w:b/>
                <w:sz w:val="24"/>
              </w:rPr>
            </w:pPr>
            <w:r>
              <w:rPr>
                <w:rFonts w:hint="eastAsia" w:asciiTheme="majorEastAsia" w:hAnsiTheme="majorEastAsia" w:eastAsiaTheme="majorEastAsia"/>
                <w:b/>
                <w:sz w:val="24"/>
              </w:rPr>
              <w:t>服务名称</w:t>
            </w:r>
          </w:p>
        </w:tc>
        <w:tc>
          <w:tcPr>
            <w:tcW w:w="2605" w:type="dxa"/>
            <w:vAlign w:val="center"/>
          </w:tcPr>
          <w:p w14:paraId="39E045C6">
            <w:pPr>
              <w:adjustRightInd w:val="0"/>
              <w:snapToGrid w:val="0"/>
              <w:jc w:val="center"/>
              <w:rPr>
                <w:rFonts w:asciiTheme="majorEastAsia" w:hAnsiTheme="majorEastAsia" w:eastAsiaTheme="majorEastAsia"/>
                <w:b/>
                <w:sz w:val="24"/>
              </w:rPr>
            </w:pPr>
            <w:r>
              <w:rPr>
                <w:rFonts w:hint="eastAsia" w:asciiTheme="majorEastAsia" w:hAnsiTheme="majorEastAsia" w:eastAsiaTheme="majorEastAsia"/>
                <w:b/>
                <w:sz w:val="24"/>
              </w:rPr>
              <w:t>服务内容</w:t>
            </w:r>
          </w:p>
        </w:tc>
        <w:tc>
          <w:tcPr>
            <w:tcW w:w="2605" w:type="dxa"/>
            <w:vAlign w:val="center"/>
          </w:tcPr>
          <w:p w14:paraId="28ABDFE9">
            <w:pPr>
              <w:adjustRightInd w:val="0"/>
              <w:snapToGrid w:val="0"/>
              <w:jc w:val="center"/>
              <w:rPr>
                <w:rFonts w:asciiTheme="majorEastAsia" w:hAnsiTheme="majorEastAsia" w:eastAsiaTheme="majorEastAsia"/>
                <w:b/>
                <w:sz w:val="24"/>
              </w:rPr>
            </w:pPr>
            <w:r>
              <w:rPr>
                <w:rFonts w:hint="eastAsia" w:asciiTheme="majorEastAsia" w:hAnsiTheme="majorEastAsia" w:eastAsiaTheme="majorEastAsia"/>
                <w:b/>
                <w:sz w:val="24"/>
              </w:rPr>
              <w:t>价格（元）</w:t>
            </w:r>
          </w:p>
        </w:tc>
      </w:tr>
      <w:tr w14:paraId="05FE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1" w:type="dxa"/>
            <w:shd w:val="clear" w:color="auto" w:fill="FFFFFF" w:themeFill="background1"/>
            <w:vAlign w:val="center"/>
          </w:tcPr>
          <w:p w14:paraId="28E95325">
            <w:pPr>
              <w:widowControl/>
              <w:jc w:val="center"/>
              <w:rPr>
                <w:rFonts w:asciiTheme="majorEastAsia" w:hAnsiTheme="majorEastAsia" w:eastAsiaTheme="majorEastAsia"/>
                <w:b/>
                <w:sz w:val="24"/>
              </w:rPr>
            </w:pPr>
            <w:r>
              <w:rPr>
                <w:rFonts w:hint="eastAsia" w:asciiTheme="majorEastAsia" w:hAnsiTheme="majorEastAsia" w:eastAsiaTheme="majorEastAsia"/>
                <w:b/>
                <w:sz w:val="24"/>
              </w:rPr>
              <w:t>1</w:t>
            </w:r>
          </w:p>
        </w:tc>
        <w:tc>
          <w:tcPr>
            <w:tcW w:w="4109" w:type="dxa"/>
            <w:shd w:val="clear" w:color="auto" w:fill="FFFFFF" w:themeFill="background1"/>
            <w:vAlign w:val="center"/>
          </w:tcPr>
          <w:p w14:paraId="7034F8B6">
            <w:pPr>
              <w:widowControl/>
              <w:jc w:val="center"/>
              <w:rPr>
                <w:rFonts w:asciiTheme="majorEastAsia" w:hAnsiTheme="majorEastAsia" w:eastAsiaTheme="majorEastAsia"/>
                <w:b/>
                <w:sz w:val="24"/>
              </w:rPr>
            </w:pPr>
            <w:r>
              <w:rPr>
                <w:rFonts w:hint="eastAsia" w:asciiTheme="majorEastAsia" w:hAnsiTheme="majorEastAsia" w:eastAsiaTheme="majorEastAsia"/>
                <w:b/>
                <w:sz w:val="24"/>
              </w:rPr>
              <w:t>三年延续保修合同</w:t>
            </w:r>
          </w:p>
        </w:tc>
        <w:tc>
          <w:tcPr>
            <w:tcW w:w="2605" w:type="dxa"/>
            <w:shd w:val="clear" w:color="auto" w:fill="FFFFFF" w:themeFill="background1"/>
            <w:vAlign w:val="center"/>
          </w:tcPr>
          <w:p w14:paraId="60BB8094">
            <w:pPr>
              <w:widowControl/>
              <w:jc w:val="center"/>
              <w:rPr>
                <w:rFonts w:cs="方正小标宋简体" w:asciiTheme="majorEastAsia" w:hAnsiTheme="majorEastAsia" w:eastAsiaTheme="majorEastAsia"/>
                <w:sz w:val="24"/>
              </w:rPr>
            </w:pPr>
          </w:p>
        </w:tc>
        <w:tc>
          <w:tcPr>
            <w:tcW w:w="2605" w:type="dxa"/>
            <w:shd w:val="clear" w:color="auto" w:fill="FFFFFF" w:themeFill="background1"/>
            <w:vAlign w:val="center"/>
          </w:tcPr>
          <w:p w14:paraId="1E48EA94">
            <w:pPr>
              <w:widowControl/>
              <w:jc w:val="center"/>
              <w:rPr>
                <w:rFonts w:cs="方正小标宋简体" w:asciiTheme="majorEastAsia" w:hAnsiTheme="majorEastAsia" w:eastAsiaTheme="majorEastAsia"/>
                <w:sz w:val="24"/>
              </w:rPr>
            </w:pPr>
          </w:p>
        </w:tc>
      </w:tr>
    </w:tbl>
    <w:p w14:paraId="1349CC51">
      <w:pPr>
        <w:rPr>
          <w:rFonts w:cs="方正小标宋简体" w:asciiTheme="majorEastAsia" w:hAnsiTheme="majorEastAsia" w:eastAsiaTheme="majorEastAsia"/>
          <w:sz w:val="36"/>
          <w:szCs w:val="36"/>
        </w:rPr>
      </w:pPr>
    </w:p>
    <w:p w14:paraId="2A82ECB1">
      <w:pPr>
        <w:rPr>
          <w:rFonts w:cs="方正小标宋简体" w:asciiTheme="majorEastAsia" w:hAnsiTheme="majorEastAsia" w:eastAsiaTheme="majorEastAsia"/>
          <w:sz w:val="36"/>
          <w:szCs w:val="36"/>
        </w:rPr>
      </w:pPr>
    </w:p>
    <w:p w14:paraId="69C60576">
      <w:pPr>
        <w:rPr>
          <w:rFonts w:cs="方正小标宋简体" w:asciiTheme="majorEastAsia" w:hAnsiTheme="majorEastAsia" w:eastAsiaTheme="majorEastAsia"/>
          <w:sz w:val="10"/>
          <w:szCs w:val="10"/>
        </w:rPr>
      </w:pPr>
    </w:p>
    <w:sectPr>
      <w:footerReference r:id="rId3" w:type="default"/>
      <w:pgSz w:w="11906" w:h="16838"/>
      <w:pgMar w:top="284" w:right="851" w:bottom="284" w:left="851" w:header="113" w:footer="283"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38C2B18-4F56-47AA-BB6F-EE8ADF021C15}"/>
  </w:font>
  <w:font w:name="Arial">
    <w:panose1 w:val="020B0604020202020204"/>
    <w:charset w:val="01"/>
    <w:family w:val="swiss"/>
    <w:pitch w:val="default"/>
    <w:sig w:usb0="E0002EFF" w:usb1="C000785B" w:usb2="00000009" w:usb3="00000000" w:csb0="400001FF" w:csb1="FFFF0000"/>
    <w:embedRegular r:id="rId2" w:fontKey="{EAF9CB0F-F477-4E8F-B2A3-E26072727D0B}"/>
  </w:font>
  <w:font w:name="黑体">
    <w:panose1 w:val="02010609060101010101"/>
    <w:charset w:val="86"/>
    <w:family w:val="auto"/>
    <w:pitch w:val="default"/>
    <w:sig w:usb0="800002BF" w:usb1="38CF7CFA" w:usb2="00000016" w:usb3="00000000" w:csb0="00040001" w:csb1="00000000"/>
    <w:embedRegular r:id="rId3" w:fontKey="{730B0297-AA6F-4DCE-AF50-DFB43016955A}"/>
  </w:font>
  <w:font w:name="Courier New">
    <w:panose1 w:val="02070309020205020404"/>
    <w:charset w:val="01"/>
    <w:family w:val="modern"/>
    <w:pitch w:val="default"/>
    <w:sig w:usb0="E0002EFF" w:usb1="C0007843" w:usb2="00000009" w:usb3="00000000" w:csb0="400001FF" w:csb1="FFFF0000"/>
    <w:embedRegular r:id="rId4" w:fontKey="{F447195C-0FCA-48BB-A7F9-AF21B19FC398}"/>
  </w:font>
  <w:font w:name="Symbol">
    <w:panose1 w:val="05050102010706020507"/>
    <w:charset w:val="02"/>
    <w:family w:val="roman"/>
    <w:pitch w:val="default"/>
    <w:sig w:usb0="00000000" w:usb1="00000000" w:usb2="00000000" w:usb3="00000000" w:csb0="80000000" w:csb1="00000000"/>
    <w:embedRegular r:id="rId5" w:fontKey="{2CFA324B-4D05-41C3-A338-289EBE401940}"/>
  </w:font>
  <w:font w:name="Calibri">
    <w:panose1 w:val="020F0502020204030204"/>
    <w:charset w:val="00"/>
    <w:family w:val="swiss"/>
    <w:pitch w:val="default"/>
    <w:sig w:usb0="E4002EFF" w:usb1="C200247B" w:usb2="00000009" w:usb3="00000000" w:csb0="200001FF" w:csb1="00000000"/>
    <w:embedRegular r:id="rId6" w:fontKey="{17CA2F53-D2AD-4708-98E5-D08207FD9188}"/>
  </w:font>
  <w:font w:name="Tahoma">
    <w:panose1 w:val="020B0604030504040204"/>
    <w:charset w:val="00"/>
    <w:family w:val="swiss"/>
    <w:pitch w:val="default"/>
    <w:sig w:usb0="E1002EFF" w:usb1="C000605B" w:usb2="00000029" w:usb3="00000000" w:csb0="200101FF" w:csb1="20280000"/>
    <w:embedRegular r:id="rId7" w:fontKey="{8AADA9DA-7AA6-4861-84CB-05CB631DC8A9}"/>
  </w:font>
  <w:font w:name="Microsoft JhengHei UI Light">
    <w:panose1 w:val="020B0304030504040204"/>
    <w:charset w:val="88"/>
    <w:family w:val="swiss"/>
    <w:pitch w:val="default"/>
    <w:sig w:usb0="800002A7" w:usb1="28CF4400" w:usb2="00000016" w:usb3="00000000" w:csb0="00100009"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8" w:fontKey="{B825043F-4A62-42C5-B1D7-8B4692C28354}"/>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75192"/>
    </w:sdtPr>
    <w:sdtContent>
      <w:sdt>
        <w:sdtPr>
          <w:id w:val="171357217"/>
        </w:sdtPr>
        <w:sdtContent>
          <w:p w14:paraId="78BAE516">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5</w:t>
            </w:r>
            <w:r>
              <w:rPr>
                <w:b/>
                <w:sz w:val="24"/>
                <w:szCs w:val="24"/>
              </w:rPr>
              <w:fldChar w:fldCharType="end"/>
            </w:r>
          </w:p>
        </w:sdtContent>
      </w:sdt>
    </w:sdtContent>
  </w:sdt>
  <w:p w14:paraId="73D7FF17">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870740"/>
    <w:multiLevelType w:val="singleLevel"/>
    <w:tmpl w:val="5B870740"/>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RiZmQ4MjUxMzQ5OGM1MGQ2YTYyY2RmNjk2NTc1MjEifQ=="/>
  </w:docVars>
  <w:rsids>
    <w:rsidRoot w:val="00F81403"/>
    <w:rsid w:val="00005907"/>
    <w:rsid w:val="00007F09"/>
    <w:rsid w:val="00014A66"/>
    <w:rsid w:val="000170C1"/>
    <w:rsid w:val="00021B63"/>
    <w:rsid w:val="00022431"/>
    <w:rsid w:val="00024E35"/>
    <w:rsid w:val="00027536"/>
    <w:rsid w:val="00027A10"/>
    <w:rsid w:val="0003257D"/>
    <w:rsid w:val="00047765"/>
    <w:rsid w:val="00056650"/>
    <w:rsid w:val="0008798E"/>
    <w:rsid w:val="000910F0"/>
    <w:rsid w:val="00091320"/>
    <w:rsid w:val="00094BE5"/>
    <w:rsid w:val="000B000D"/>
    <w:rsid w:val="000B173B"/>
    <w:rsid w:val="000C2EB1"/>
    <w:rsid w:val="000C4674"/>
    <w:rsid w:val="000D332B"/>
    <w:rsid w:val="000D486B"/>
    <w:rsid w:val="000D528A"/>
    <w:rsid w:val="000E2EEF"/>
    <w:rsid w:val="000E6D84"/>
    <w:rsid w:val="00100E5F"/>
    <w:rsid w:val="00114A9B"/>
    <w:rsid w:val="00117159"/>
    <w:rsid w:val="00117B29"/>
    <w:rsid w:val="00122AB5"/>
    <w:rsid w:val="00141F0D"/>
    <w:rsid w:val="00147AA8"/>
    <w:rsid w:val="00147DE0"/>
    <w:rsid w:val="00162C8C"/>
    <w:rsid w:val="00164210"/>
    <w:rsid w:val="0017347E"/>
    <w:rsid w:val="00173505"/>
    <w:rsid w:val="001755A1"/>
    <w:rsid w:val="0018628F"/>
    <w:rsid w:val="001B112F"/>
    <w:rsid w:val="001B29FF"/>
    <w:rsid w:val="001B4F07"/>
    <w:rsid w:val="001C2054"/>
    <w:rsid w:val="001F45BE"/>
    <w:rsid w:val="001F4D0D"/>
    <w:rsid w:val="001F5D4E"/>
    <w:rsid w:val="001F7204"/>
    <w:rsid w:val="00201CE8"/>
    <w:rsid w:val="00207531"/>
    <w:rsid w:val="00213A4E"/>
    <w:rsid w:val="00213DBD"/>
    <w:rsid w:val="00214240"/>
    <w:rsid w:val="0022066A"/>
    <w:rsid w:val="00223188"/>
    <w:rsid w:val="002243DF"/>
    <w:rsid w:val="0024191C"/>
    <w:rsid w:val="00244C7F"/>
    <w:rsid w:val="00250F60"/>
    <w:rsid w:val="00262E90"/>
    <w:rsid w:val="002850D0"/>
    <w:rsid w:val="002956A8"/>
    <w:rsid w:val="0029701C"/>
    <w:rsid w:val="00297C31"/>
    <w:rsid w:val="002B3785"/>
    <w:rsid w:val="002F5D5E"/>
    <w:rsid w:val="00307648"/>
    <w:rsid w:val="003150D8"/>
    <w:rsid w:val="003213BB"/>
    <w:rsid w:val="00321F08"/>
    <w:rsid w:val="00322AE6"/>
    <w:rsid w:val="00326BC1"/>
    <w:rsid w:val="00334AA0"/>
    <w:rsid w:val="003444D7"/>
    <w:rsid w:val="00352B55"/>
    <w:rsid w:val="00354F4C"/>
    <w:rsid w:val="00356433"/>
    <w:rsid w:val="00376AC2"/>
    <w:rsid w:val="003942D3"/>
    <w:rsid w:val="0039648A"/>
    <w:rsid w:val="003D442D"/>
    <w:rsid w:val="003D7EF0"/>
    <w:rsid w:val="004164F9"/>
    <w:rsid w:val="00423853"/>
    <w:rsid w:val="00423C2F"/>
    <w:rsid w:val="00446E5F"/>
    <w:rsid w:val="00455236"/>
    <w:rsid w:val="00456EA0"/>
    <w:rsid w:val="00465CFB"/>
    <w:rsid w:val="00465E46"/>
    <w:rsid w:val="00472034"/>
    <w:rsid w:val="004818C2"/>
    <w:rsid w:val="00497BF4"/>
    <w:rsid w:val="004B1081"/>
    <w:rsid w:val="004B3240"/>
    <w:rsid w:val="004B3CFF"/>
    <w:rsid w:val="004C1160"/>
    <w:rsid w:val="004C74AE"/>
    <w:rsid w:val="004D0A11"/>
    <w:rsid w:val="004E0D21"/>
    <w:rsid w:val="004F46AD"/>
    <w:rsid w:val="004F6661"/>
    <w:rsid w:val="00504B0F"/>
    <w:rsid w:val="00511DC2"/>
    <w:rsid w:val="00523CD5"/>
    <w:rsid w:val="005275A8"/>
    <w:rsid w:val="00531271"/>
    <w:rsid w:val="00535190"/>
    <w:rsid w:val="0053721B"/>
    <w:rsid w:val="00542363"/>
    <w:rsid w:val="00543959"/>
    <w:rsid w:val="0055112D"/>
    <w:rsid w:val="00553925"/>
    <w:rsid w:val="005666F4"/>
    <w:rsid w:val="005675B0"/>
    <w:rsid w:val="005772ED"/>
    <w:rsid w:val="0058777D"/>
    <w:rsid w:val="00590721"/>
    <w:rsid w:val="00597CA2"/>
    <w:rsid w:val="005C211C"/>
    <w:rsid w:val="005C239D"/>
    <w:rsid w:val="005C57CC"/>
    <w:rsid w:val="005D1F81"/>
    <w:rsid w:val="005D41C1"/>
    <w:rsid w:val="00603257"/>
    <w:rsid w:val="0060593D"/>
    <w:rsid w:val="006165CC"/>
    <w:rsid w:val="0061710D"/>
    <w:rsid w:val="006231CE"/>
    <w:rsid w:val="00645581"/>
    <w:rsid w:val="00651D42"/>
    <w:rsid w:val="00654133"/>
    <w:rsid w:val="00662021"/>
    <w:rsid w:val="00662B11"/>
    <w:rsid w:val="00677F9F"/>
    <w:rsid w:val="006C7CF0"/>
    <w:rsid w:val="006D3D0D"/>
    <w:rsid w:val="006D571D"/>
    <w:rsid w:val="007024B9"/>
    <w:rsid w:val="007130B5"/>
    <w:rsid w:val="00716C4F"/>
    <w:rsid w:val="007246DD"/>
    <w:rsid w:val="007467D7"/>
    <w:rsid w:val="00750A3D"/>
    <w:rsid w:val="00752B12"/>
    <w:rsid w:val="007554DF"/>
    <w:rsid w:val="00793785"/>
    <w:rsid w:val="007A0C07"/>
    <w:rsid w:val="007A2E18"/>
    <w:rsid w:val="007A7BFE"/>
    <w:rsid w:val="007B1DF4"/>
    <w:rsid w:val="007C4096"/>
    <w:rsid w:val="007D196F"/>
    <w:rsid w:val="007D65D9"/>
    <w:rsid w:val="007E274A"/>
    <w:rsid w:val="007F77CE"/>
    <w:rsid w:val="0080050C"/>
    <w:rsid w:val="008120B0"/>
    <w:rsid w:val="00813523"/>
    <w:rsid w:val="00871F5E"/>
    <w:rsid w:val="00872D2F"/>
    <w:rsid w:val="00874934"/>
    <w:rsid w:val="00876B02"/>
    <w:rsid w:val="008802B6"/>
    <w:rsid w:val="008964A3"/>
    <w:rsid w:val="008B74EE"/>
    <w:rsid w:val="008C06EF"/>
    <w:rsid w:val="008C28A8"/>
    <w:rsid w:val="008D2C79"/>
    <w:rsid w:val="008D3E82"/>
    <w:rsid w:val="008E56F3"/>
    <w:rsid w:val="008F2B87"/>
    <w:rsid w:val="0090107D"/>
    <w:rsid w:val="009122AA"/>
    <w:rsid w:val="00914B58"/>
    <w:rsid w:val="00930B23"/>
    <w:rsid w:val="00936CEC"/>
    <w:rsid w:val="009376BC"/>
    <w:rsid w:val="00937D3D"/>
    <w:rsid w:val="00947CF3"/>
    <w:rsid w:val="00953822"/>
    <w:rsid w:val="00972C2D"/>
    <w:rsid w:val="009764EB"/>
    <w:rsid w:val="009908D7"/>
    <w:rsid w:val="00991D87"/>
    <w:rsid w:val="00991F74"/>
    <w:rsid w:val="00996AC8"/>
    <w:rsid w:val="009978E3"/>
    <w:rsid w:val="009A130E"/>
    <w:rsid w:val="009A1DE2"/>
    <w:rsid w:val="009B5AA8"/>
    <w:rsid w:val="009E6FD2"/>
    <w:rsid w:val="009F5BF6"/>
    <w:rsid w:val="00A043A8"/>
    <w:rsid w:val="00A0782D"/>
    <w:rsid w:val="00A17D1D"/>
    <w:rsid w:val="00A303A3"/>
    <w:rsid w:val="00A619BE"/>
    <w:rsid w:val="00A903C7"/>
    <w:rsid w:val="00AA4B4A"/>
    <w:rsid w:val="00AA4CB7"/>
    <w:rsid w:val="00AA6962"/>
    <w:rsid w:val="00AB2610"/>
    <w:rsid w:val="00AD173E"/>
    <w:rsid w:val="00AE2BDC"/>
    <w:rsid w:val="00AF5FA9"/>
    <w:rsid w:val="00AF7A87"/>
    <w:rsid w:val="00B01564"/>
    <w:rsid w:val="00B06C01"/>
    <w:rsid w:val="00B21F51"/>
    <w:rsid w:val="00B22795"/>
    <w:rsid w:val="00B25EF8"/>
    <w:rsid w:val="00B63890"/>
    <w:rsid w:val="00B670AA"/>
    <w:rsid w:val="00B74119"/>
    <w:rsid w:val="00B82233"/>
    <w:rsid w:val="00BA17A1"/>
    <w:rsid w:val="00BA5B17"/>
    <w:rsid w:val="00BC4EC7"/>
    <w:rsid w:val="00BC5AE8"/>
    <w:rsid w:val="00BF1CC2"/>
    <w:rsid w:val="00BF3B8F"/>
    <w:rsid w:val="00BF69AA"/>
    <w:rsid w:val="00C03748"/>
    <w:rsid w:val="00C05356"/>
    <w:rsid w:val="00C11198"/>
    <w:rsid w:val="00C126AD"/>
    <w:rsid w:val="00C13828"/>
    <w:rsid w:val="00C32BEC"/>
    <w:rsid w:val="00C35949"/>
    <w:rsid w:val="00C46532"/>
    <w:rsid w:val="00C52EBE"/>
    <w:rsid w:val="00C55020"/>
    <w:rsid w:val="00C619DD"/>
    <w:rsid w:val="00C67D6C"/>
    <w:rsid w:val="00C77FD8"/>
    <w:rsid w:val="00C866F4"/>
    <w:rsid w:val="00CB2C1D"/>
    <w:rsid w:val="00CB402B"/>
    <w:rsid w:val="00CF09E5"/>
    <w:rsid w:val="00D05083"/>
    <w:rsid w:val="00D5343F"/>
    <w:rsid w:val="00D54D59"/>
    <w:rsid w:val="00D647C2"/>
    <w:rsid w:val="00D976F6"/>
    <w:rsid w:val="00DA6EC9"/>
    <w:rsid w:val="00DA6FCD"/>
    <w:rsid w:val="00DB1E59"/>
    <w:rsid w:val="00DB4D7A"/>
    <w:rsid w:val="00DB528F"/>
    <w:rsid w:val="00DC4CC7"/>
    <w:rsid w:val="00DC7DA0"/>
    <w:rsid w:val="00DF5E92"/>
    <w:rsid w:val="00E052D9"/>
    <w:rsid w:val="00E15130"/>
    <w:rsid w:val="00E1520C"/>
    <w:rsid w:val="00E17C75"/>
    <w:rsid w:val="00E35AFC"/>
    <w:rsid w:val="00E9359A"/>
    <w:rsid w:val="00E93F8F"/>
    <w:rsid w:val="00EC16FF"/>
    <w:rsid w:val="00ED7224"/>
    <w:rsid w:val="00EE072D"/>
    <w:rsid w:val="00EF0BF4"/>
    <w:rsid w:val="00F0149B"/>
    <w:rsid w:val="00F07294"/>
    <w:rsid w:val="00F1549D"/>
    <w:rsid w:val="00F225D8"/>
    <w:rsid w:val="00F23DB0"/>
    <w:rsid w:val="00F30025"/>
    <w:rsid w:val="00F464BC"/>
    <w:rsid w:val="00F60CB5"/>
    <w:rsid w:val="00F6106B"/>
    <w:rsid w:val="00F65BCF"/>
    <w:rsid w:val="00F6788A"/>
    <w:rsid w:val="00F81403"/>
    <w:rsid w:val="00F822D2"/>
    <w:rsid w:val="00F83533"/>
    <w:rsid w:val="00F945B0"/>
    <w:rsid w:val="00F964B1"/>
    <w:rsid w:val="00FB421E"/>
    <w:rsid w:val="00FB6EEE"/>
    <w:rsid w:val="00FC40CA"/>
    <w:rsid w:val="00FD0656"/>
    <w:rsid w:val="00FD23ED"/>
    <w:rsid w:val="00FF30DB"/>
    <w:rsid w:val="017D4D3A"/>
    <w:rsid w:val="01D54D98"/>
    <w:rsid w:val="02740FE1"/>
    <w:rsid w:val="05040C81"/>
    <w:rsid w:val="0611217C"/>
    <w:rsid w:val="07AE3385"/>
    <w:rsid w:val="08531A5F"/>
    <w:rsid w:val="0C682C93"/>
    <w:rsid w:val="0CBB1FB4"/>
    <w:rsid w:val="0DD56120"/>
    <w:rsid w:val="0F8E7447"/>
    <w:rsid w:val="0FBA585B"/>
    <w:rsid w:val="119B6051"/>
    <w:rsid w:val="11D819B2"/>
    <w:rsid w:val="11DE34B9"/>
    <w:rsid w:val="12A25084"/>
    <w:rsid w:val="141C0F78"/>
    <w:rsid w:val="142B2292"/>
    <w:rsid w:val="14C30A7E"/>
    <w:rsid w:val="15FB47D0"/>
    <w:rsid w:val="163C5779"/>
    <w:rsid w:val="19A66D0D"/>
    <w:rsid w:val="1A385FE8"/>
    <w:rsid w:val="1A84032A"/>
    <w:rsid w:val="1AD76691"/>
    <w:rsid w:val="1D305121"/>
    <w:rsid w:val="1E12700E"/>
    <w:rsid w:val="21971856"/>
    <w:rsid w:val="22E10C1D"/>
    <w:rsid w:val="2A7562BC"/>
    <w:rsid w:val="2B252436"/>
    <w:rsid w:val="304C7529"/>
    <w:rsid w:val="30605945"/>
    <w:rsid w:val="34481BD7"/>
    <w:rsid w:val="35365267"/>
    <w:rsid w:val="359B56E2"/>
    <w:rsid w:val="36693D7C"/>
    <w:rsid w:val="366D6BB6"/>
    <w:rsid w:val="381E3ED5"/>
    <w:rsid w:val="382126C2"/>
    <w:rsid w:val="38376F0C"/>
    <w:rsid w:val="38995E18"/>
    <w:rsid w:val="3B5C301D"/>
    <w:rsid w:val="3C3332CB"/>
    <w:rsid w:val="3EB2662C"/>
    <w:rsid w:val="400263C3"/>
    <w:rsid w:val="4269060A"/>
    <w:rsid w:val="4363327D"/>
    <w:rsid w:val="445F60B6"/>
    <w:rsid w:val="463B15AE"/>
    <w:rsid w:val="49604179"/>
    <w:rsid w:val="499C3073"/>
    <w:rsid w:val="4E280CF3"/>
    <w:rsid w:val="4E3C4E24"/>
    <w:rsid w:val="4ECD3CCE"/>
    <w:rsid w:val="4EDE068B"/>
    <w:rsid w:val="50593A6B"/>
    <w:rsid w:val="51586419"/>
    <w:rsid w:val="51866195"/>
    <w:rsid w:val="53DD0E57"/>
    <w:rsid w:val="541C54DC"/>
    <w:rsid w:val="566D4594"/>
    <w:rsid w:val="57F616F8"/>
    <w:rsid w:val="58242AE0"/>
    <w:rsid w:val="58AB396B"/>
    <w:rsid w:val="5A334F54"/>
    <w:rsid w:val="5A600155"/>
    <w:rsid w:val="5BDE3A84"/>
    <w:rsid w:val="5C483C8E"/>
    <w:rsid w:val="5D3A0089"/>
    <w:rsid w:val="5DC547C7"/>
    <w:rsid w:val="60427C5D"/>
    <w:rsid w:val="60F65383"/>
    <w:rsid w:val="65924768"/>
    <w:rsid w:val="65DA349F"/>
    <w:rsid w:val="663B31C1"/>
    <w:rsid w:val="66AC0259"/>
    <w:rsid w:val="6A6A7DEC"/>
    <w:rsid w:val="6AC76E6F"/>
    <w:rsid w:val="6AFD60D5"/>
    <w:rsid w:val="6B6E2157"/>
    <w:rsid w:val="6F633413"/>
    <w:rsid w:val="6F9E571F"/>
    <w:rsid w:val="70A26911"/>
    <w:rsid w:val="712B4136"/>
    <w:rsid w:val="727A7B45"/>
    <w:rsid w:val="73374A1C"/>
    <w:rsid w:val="738F7392"/>
    <w:rsid w:val="762C283F"/>
    <w:rsid w:val="767D5D1E"/>
    <w:rsid w:val="76E03ABB"/>
    <w:rsid w:val="797307CE"/>
    <w:rsid w:val="79F503F9"/>
    <w:rsid w:val="7A6F030F"/>
    <w:rsid w:val="7A89169D"/>
    <w:rsid w:val="7B865177"/>
    <w:rsid w:val="7E394D59"/>
    <w:rsid w:val="7E9475CA"/>
    <w:rsid w:val="7FFF40D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0"/>
    <w:autoRedefine/>
    <w:unhideWhenUsed/>
    <w:qFormat/>
    <w:uiPriority w:val="99"/>
    <w:pPr>
      <w:jc w:val="left"/>
    </w:pPr>
  </w:style>
  <w:style w:type="paragraph" w:styleId="3">
    <w:name w:val="Body Text"/>
    <w:basedOn w:val="1"/>
    <w:link w:val="22"/>
    <w:qFormat/>
    <w:uiPriority w:val="0"/>
    <w:pPr>
      <w:adjustRightInd w:val="0"/>
      <w:snapToGrid w:val="0"/>
      <w:spacing w:line="500" w:lineRule="atLeast"/>
    </w:pPr>
    <w:rPr>
      <w:rFonts w:ascii="宋体"/>
      <w:bCs/>
      <w:sz w:val="28"/>
    </w:rPr>
  </w:style>
  <w:style w:type="paragraph" w:styleId="4">
    <w:name w:val="Plain Text"/>
    <w:basedOn w:val="1"/>
    <w:link w:val="17"/>
    <w:unhideWhenUsed/>
    <w:qFormat/>
    <w:uiPriority w:val="99"/>
    <w:rPr>
      <w:rFonts w:ascii="宋体" w:hAnsi="Courier New" w:cs="Courier New"/>
      <w:szCs w:val="21"/>
    </w:rPr>
  </w:style>
  <w:style w:type="paragraph" w:styleId="5">
    <w:name w:val="Balloon Text"/>
    <w:basedOn w:val="1"/>
    <w:link w:val="19"/>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annotation subject"/>
    <w:basedOn w:val="2"/>
    <w:next w:val="2"/>
    <w:link w:val="21"/>
    <w:autoRedefine/>
    <w:semiHidden/>
    <w:unhideWhenUsed/>
    <w:qFormat/>
    <w:uiPriority w:val="99"/>
    <w:rPr>
      <w:b/>
      <w:bCs/>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rFonts w:ascii="Tahoma" w:hAnsi="Tahoma" w:eastAsia="宋体"/>
      <w:b/>
      <w:bCs/>
      <w:spacing w:val="10"/>
      <w:kern w:val="2"/>
      <w:sz w:val="24"/>
      <w:szCs w:val="24"/>
      <w:lang w:val="en-US" w:eastAsia="zh-CN" w:bidi="ar-SA"/>
    </w:rPr>
  </w:style>
  <w:style w:type="character" w:styleId="13">
    <w:name w:val="annotation reference"/>
    <w:basedOn w:val="11"/>
    <w:semiHidden/>
    <w:unhideWhenUsed/>
    <w:qFormat/>
    <w:uiPriority w:val="99"/>
    <w:rPr>
      <w:sz w:val="21"/>
      <w:szCs w:val="21"/>
    </w:rPr>
  </w:style>
  <w:style w:type="character" w:customStyle="1" w:styleId="14">
    <w:name w:val="页眉 字符"/>
    <w:basedOn w:val="11"/>
    <w:link w:val="7"/>
    <w:qFormat/>
    <w:uiPriority w:val="99"/>
    <w:rPr>
      <w:sz w:val="18"/>
      <w:szCs w:val="18"/>
    </w:rPr>
  </w:style>
  <w:style w:type="character" w:customStyle="1" w:styleId="15">
    <w:name w:val="页脚 字符"/>
    <w:basedOn w:val="11"/>
    <w:link w:val="6"/>
    <w:qFormat/>
    <w:uiPriority w:val="99"/>
    <w:rPr>
      <w:sz w:val="18"/>
      <w:szCs w:val="18"/>
    </w:rPr>
  </w:style>
  <w:style w:type="paragraph" w:styleId="16">
    <w:name w:val="List Paragraph"/>
    <w:basedOn w:val="1"/>
    <w:autoRedefine/>
    <w:qFormat/>
    <w:uiPriority w:val="34"/>
    <w:pPr>
      <w:ind w:firstLine="420" w:firstLineChars="200"/>
    </w:pPr>
  </w:style>
  <w:style w:type="character" w:customStyle="1" w:styleId="17">
    <w:name w:val="纯文本 字符"/>
    <w:basedOn w:val="11"/>
    <w:link w:val="4"/>
    <w:qFormat/>
    <w:uiPriority w:val="99"/>
    <w:rPr>
      <w:rFonts w:ascii="宋体" w:hAnsi="Courier New" w:eastAsia="宋体" w:cs="Courier New"/>
      <w:szCs w:val="21"/>
    </w:rPr>
  </w:style>
  <w:style w:type="paragraph" w:customStyle="1" w:styleId="18">
    <w:name w:val="样式1 Char Char"/>
    <w:basedOn w:val="1"/>
    <w:next w:val="4"/>
    <w:qFormat/>
    <w:uiPriority w:val="0"/>
    <w:pPr>
      <w:spacing w:line="360" w:lineRule="auto"/>
      <w:ind w:firstLine="516" w:firstLineChars="215"/>
    </w:pPr>
    <w:rPr>
      <w:sz w:val="24"/>
    </w:rPr>
  </w:style>
  <w:style w:type="character" w:customStyle="1" w:styleId="19">
    <w:name w:val="批注框文本 字符"/>
    <w:basedOn w:val="11"/>
    <w:link w:val="5"/>
    <w:semiHidden/>
    <w:qFormat/>
    <w:uiPriority w:val="99"/>
    <w:rPr>
      <w:rFonts w:ascii="Times New Roman" w:hAnsi="Times New Roman" w:eastAsia="宋体" w:cs="Times New Roman"/>
      <w:kern w:val="2"/>
      <w:sz w:val="18"/>
      <w:szCs w:val="18"/>
    </w:rPr>
  </w:style>
  <w:style w:type="character" w:customStyle="1" w:styleId="20">
    <w:name w:val="批注文字 字符"/>
    <w:basedOn w:val="11"/>
    <w:link w:val="2"/>
    <w:autoRedefine/>
    <w:qFormat/>
    <w:uiPriority w:val="99"/>
    <w:rPr>
      <w:rFonts w:ascii="Times New Roman" w:hAnsi="Times New Roman" w:eastAsia="宋体" w:cs="Times New Roman"/>
      <w:kern w:val="2"/>
      <w:sz w:val="21"/>
      <w:szCs w:val="24"/>
    </w:rPr>
  </w:style>
  <w:style w:type="character" w:customStyle="1" w:styleId="21">
    <w:name w:val="批注主题 字符"/>
    <w:basedOn w:val="20"/>
    <w:link w:val="8"/>
    <w:autoRedefine/>
    <w:semiHidden/>
    <w:qFormat/>
    <w:uiPriority w:val="99"/>
    <w:rPr>
      <w:rFonts w:ascii="Times New Roman" w:hAnsi="Times New Roman" w:eastAsia="宋体" w:cs="Times New Roman"/>
      <w:b/>
      <w:bCs/>
      <w:kern w:val="2"/>
      <w:sz w:val="21"/>
      <w:szCs w:val="24"/>
    </w:rPr>
  </w:style>
  <w:style w:type="character" w:customStyle="1" w:styleId="22">
    <w:name w:val="正文文本 字符"/>
    <w:basedOn w:val="11"/>
    <w:link w:val="3"/>
    <w:autoRedefine/>
    <w:qFormat/>
    <w:uiPriority w:val="0"/>
    <w:rPr>
      <w:rFonts w:ascii="宋体" w:hAnsi="Times New Roman" w:eastAsia="宋体" w:cs="Times New Roman"/>
      <w:bCs/>
      <w:kern w:val="2"/>
      <w:sz w:val="28"/>
      <w:szCs w:val="24"/>
    </w:rPr>
  </w:style>
  <w:style w:type="paragraph" w:customStyle="1" w:styleId="23">
    <w:name w:val="正文 A"/>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character" w:customStyle="1" w:styleId="24">
    <w:name w:val="font71"/>
    <w:basedOn w:val="11"/>
    <w:autoRedefine/>
    <w:qFormat/>
    <w:uiPriority w:val="0"/>
    <w:rPr>
      <w:rFonts w:hint="eastAsia" w:ascii="宋体" w:hAnsi="宋体" w:eastAsia="宋体" w:cs="宋体"/>
      <w:color w:val="000000"/>
      <w:sz w:val="31"/>
      <w:szCs w:val="31"/>
      <w:u w:val="none"/>
    </w:rPr>
  </w:style>
  <w:style w:type="character" w:customStyle="1" w:styleId="25">
    <w:name w:val="font21"/>
    <w:basedOn w:val="11"/>
    <w:autoRedefine/>
    <w:qFormat/>
    <w:uiPriority w:val="0"/>
    <w:rPr>
      <w:rFonts w:hint="eastAsia" w:ascii="宋体" w:hAnsi="宋体" w:eastAsia="宋体" w:cs="宋体"/>
      <w:b/>
      <w:bCs/>
      <w:color w:val="000000"/>
      <w:sz w:val="24"/>
      <w:szCs w:val="24"/>
      <w:u w:val="none"/>
    </w:rPr>
  </w:style>
  <w:style w:type="character" w:customStyle="1" w:styleId="26">
    <w:name w:val="font31"/>
    <w:basedOn w:val="11"/>
    <w:autoRedefine/>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5</Pages>
  <Words>5647</Words>
  <Characters>6020</Characters>
  <Lines>50</Lines>
  <Paragraphs>14</Paragraphs>
  <TotalTime>3</TotalTime>
  <ScaleCrop>false</ScaleCrop>
  <LinksUpToDate>false</LinksUpToDate>
  <CharactersWithSpaces>6082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2025-07-31T06:32:00Z</dcterms:created>
  <dc:creator>陈蕾</dc:creator>
  <cp:lastModifiedBy>YU</cp:lastModifiedBy>
  <cp:lastPrinted>2025-08-06T09:33:00Z</cp:lastPrinted>
  <dcterms:modified xsi:type="dcterms:W3CDTF">2025-09-17T02:37:09Z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eyJoZGlkIjoiY2Q3MmEwNjA5YTM1NTVkNjA1MTE4NTFjOGQ0YjlkMGIiLCJ1c2VySWQiOiI1NjcwNTQxMTcifQ==</vt:lpwstr>
  </property>
  <property fmtid="{D5CDD505-2E9C-101B-9397-08002B2CF9AE}" pid="4" name="ICV">
    <vt:lpwstr>0D7CBAD7D8A7443483E5E3927643AF56_13</vt:lpwstr>
  </property>
</Properties>
</file>