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：全自动血液分析系统、全自动核酸检测分析仪、全自动化学发光测定仪（过敏源定量检测）</w:t>
      </w:r>
      <w:r>
        <w:rPr>
          <w:rFonts w:hint="eastAsia" w:asciiTheme="majorEastAsia" w:hAnsiTheme="majorEastAsia" w:eastAsiaTheme="majorEastAsia" w:cstheme="majorEastAsia"/>
          <w:sz w:val="32"/>
          <w:lang w:val="en-US" w:eastAsia="zh-CN"/>
        </w:rPr>
        <w:t>等一批</w:t>
      </w:r>
      <w:r>
        <w:rPr>
          <w:rFonts w:hint="eastAsia" w:asciiTheme="majorEastAsia" w:hAnsiTheme="majorEastAsia" w:eastAsiaTheme="majorEastAsia" w:cstheme="majorEastAsia"/>
          <w:sz w:val="32"/>
          <w:lang w:eastAsia="zh-CN"/>
        </w:rPr>
        <w:t>设备</w:t>
      </w:r>
      <w:r>
        <w:rPr>
          <w:rFonts w:hint="eastAsia" w:asciiTheme="majorEastAsia" w:hAnsiTheme="majorEastAsia" w:eastAsiaTheme="majorEastAsia" w:cstheme="majorEastAsia"/>
          <w:sz w:val="32"/>
          <w:lang w:val="en-US" w:eastAsia="zh-CN"/>
        </w:rPr>
        <w:t>及配套专机专用试剂</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）全自动化学发光测定仪（过敏源定量检测）、全自动核酸检测分析仪、全自动血液分析系统</w:t>
      </w:r>
      <w:r>
        <w:rPr>
          <w:rFonts w:hint="eastAsia" w:hAnsi="宋体"/>
          <w:b/>
          <w:bCs/>
          <w:color w:val="000000"/>
          <w:kern w:val="0"/>
          <w:sz w:val="24"/>
          <w:szCs w:val="22"/>
          <w:lang w:val="en-US" w:eastAsia="zh-CN"/>
        </w:rPr>
        <w:t>等一批</w:t>
      </w:r>
      <w:r>
        <w:rPr>
          <w:rFonts w:hint="eastAsia" w:hAnsi="宋体"/>
          <w:b/>
          <w:bCs/>
          <w:color w:val="000000"/>
          <w:kern w:val="0"/>
          <w:sz w:val="24"/>
          <w:szCs w:val="22"/>
          <w:lang w:eastAsia="zh-CN"/>
        </w:rPr>
        <w:t>设备</w:t>
      </w:r>
      <w:r>
        <w:rPr>
          <w:rFonts w:hint="eastAsia" w:hAnsi="宋体"/>
          <w:b/>
          <w:bCs/>
          <w:color w:val="000000"/>
          <w:kern w:val="0"/>
          <w:sz w:val="24"/>
          <w:szCs w:val="22"/>
          <w:lang w:val="en-US" w:eastAsia="zh-CN"/>
        </w:rPr>
        <w:t>及配套专机专用试剂</w:t>
      </w:r>
      <w:r>
        <w:rPr>
          <w:rFonts w:hint="eastAsia" w:hAnsi="宋体"/>
          <w:b/>
          <w:bCs/>
          <w:color w:val="000000"/>
          <w:kern w:val="0"/>
          <w:sz w:val="24"/>
          <w:szCs w:val="22"/>
          <w:lang w:eastAsia="zh-CN"/>
        </w:rPr>
        <w:t>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50CAF81E">
        <w:trPr>
          <w:jc w:val="center"/>
        </w:trPr>
        <w:tc>
          <w:tcPr>
            <w:tcW w:w="11536"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5" w:firstLineChars="500"/>
              <w:rPr>
                <w:rFonts w:hint="default" w:ascii="Times New Roman" w:hAnsi="宋体"/>
                <w:b/>
                <w:bCs/>
                <w:color w:val="000000"/>
                <w:kern w:val="0"/>
                <w:sz w:val="24"/>
              </w:rPr>
            </w:pPr>
            <w:r>
              <w:rPr>
                <w:rFonts w:hint="default" w:ascii="Times New Roman" w:hAnsi="宋体" w:eastAsia="宋体" w:cs="Times New Roman"/>
                <w:b/>
                <w:bCs/>
                <w:color w:val="000000"/>
                <w:kern w:val="0"/>
                <w:sz w:val="24"/>
                <w:szCs w:val="22"/>
                <w:lang w:val="en-US" w:eastAsia="zh-CN" w:bidi="ar-SA"/>
              </w:rPr>
              <w:t>1.</w:t>
            </w:r>
            <w:r>
              <w:rPr>
                <w:rFonts w:hint="default" w:ascii="Times New Roman" w:hAnsi="宋体"/>
                <w:b/>
                <w:bCs/>
                <w:color w:val="000000"/>
                <w:kern w:val="0"/>
                <w:sz w:val="24"/>
              </w:rPr>
              <w:t>采购项目名称：全自动化学发光测定仪（过敏源定量检测）、全自动核酸检测分析仪、全自动血液分析系统</w:t>
            </w:r>
            <w:r>
              <w:rPr>
                <w:rFonts w:hint="default" w:ascii="Times New Roman" w:hAnsi="宋体"/>
                <w:b/>
                <w:bCs/>
                <w:color w:val="000000"/>
                <w:kern w:val="0"/>
                <w:sz w:val="24"/>
                <w:lang w:val="en-US" w:eastAsia="zh-CN"/>
              </w:rPr>
              <w:t>等一批</w:t>
            </w:r>
            <w:r>
              <w:rPr>
                <w:rFonts w:hint="default" w:ascii="Times New Roman" w:hAnsi="宋体"/>
                <w:b/>
                <w:bCs/>
                <w:color w:val="000000"/>
                <w:kern w:val="0"/>
                <w:sz w:val="24"/>
                <w:lang w:eastAsia="zh-CN"/>
              </w:rPr>
              <w:t>设备</w:t>
            </w:r>
            <w:r>
              <w:rPr>
                <w:rFonts w:hint="default" w:ascii="Times New Roman" w:hAnsi="宋体"/>
                <w:b/>
                <w:bCs/>
                <w:color w:val="000000"/>
                <w:kern w:val="0"/>
                <w:sz w:val="24"/>
                <w:lang w:val="en-US" w:eastAsia="zh-CN"/>
              </w:rPr>
              <w:t>及配套专机专用试剂</w:t>
            </w:r>
            <w:r>
              <w:rPr>
                <w:rFonts w:hint="default" w:ascii="Times New Roman" w:hAnsi="宋体"/>
                <w:b/>
                <w:bCs/>
                <w:color w:val="000000"/>
                <w:kern w:val="0"/>
                <w:sz w:val="24"/>
                <w:lang w:eastAsia="zh-CN"/>
              </w:rPr>
              <w:t>采购</w:t>
            </w:r>
            <w:r>
              <w:rPr>
                <w:rFonts w:hint="default" w:ascii="Times New Roman" w:hAnsi="宋体"/>
                <w:b/>
                <w:bCs/>
                <w:color w:val="000000"/>
                <w:kern w:val="0"/>
                <w:sz w:val="24"/>
              </w:rPr>
              <w:t>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70"/>
              <w:gridCol w:w="1273"/>
              <w:gridCol w:w="1650"/>
              <w:gridCol w:w="1020"/>
              <w:gridCol w:w="450"/>
              <w:gridCol w:w="690"/>
              <w:gridCol w:w="855"/>
              <w:gridCol w:w="960"/>
              <w:gridCol w:w="1155"/>
              <w:gridCol w:w="990"/>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768"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474"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09"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451" w:type="pct"/>
                  <w:vAlign w:val="center"/>
                </w:tcPr>
                <w:p w14:paraId="0A41960F">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检验医学科</w:t>
                  </w:r>
                </w:p>
              </w:tc>
              <w:tc>
                <w:tcPr>
                  <w:tcW w:w="592" w:type="pct"/>
                  <w:vAlign w:val="center"/>
                </w:tcPr>
                <w:p w14:paraId="6CA564E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ZCB-2025-YS-02</w:t>
                  </w:r>
                  <w:r>
                    <w:rPr>
                      <w:rFonts w:hint="eastAsia" w:cs="Times New Roman" w:asciiTheme="majorEastAsia" w:hAnsiTheme="majorEastAsia" w:eastAsiaTheme="majorEastAsia"/>
                      <w:kern w:val="2"/>
                      <w:sz w:val="24"/>
                      <w:szCs w:val="21"/>
                      <w:lang w:val="en-US" w:eastAsia="zh-CN" w:bidi="ar-SA"/>
                    </w:rPr>
                    <w:t>7</w:t>
                  </w:r>
                </w:p>
              </w:tc>
              <w:tc>
                <w:tcPr>
                  <w:tcW w:w="768" w:type="pct"/>
                  <w:vAlign w:val="center"/>
                </w:tcPr>
                <w:p w14:paraId="73CF1B3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全自动血液分析系统</w:t>
                  </w:r>
                </w:p>
              </w:tc>
              <w:tc>
                <w:tcPr>
                  <w:tcW w:w="474" w:type="pct"/>
                  <w:vAlign w:val="center"/>
                </w:tcPr>
                <w:p w14:paraId="15CB0B21">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09" w:type="pct"/>
                  <w:vAlign w:val="center"/>
                </w:tcPr>
                <w:p w14:paraId="6FD15FB0">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1</w:t>
                  </w:r>
                </w:p>
              </w:tc>
              <w:tc>
                <w:tcPr>
                  <w:tcW w:w="321" w:type="pct"/>
                  <w:vAlign w:val="center"/>
                </w:tcPr>
                <w:p w14:paraId="73A0B747">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vAlign w:val="center"/>
                </w:tcPr>
                <w:p w14:paraId="6759E7FC">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0.15</w:t>
                  </w:r>
                </w:p>
              </w:tc>
              <w:tc>
                <w:tcPr>
                  <w:tcW w:w="446" w:type="pct"/>
                  <w:vAlign w:val="center"/>
                </w:tcPr>
                <w:p w14:paraId="20B095DD">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 xml:space="preserve">0.15 </w:t>
                  </w:r>
                </w:p>
              </w:tc>
              <w:tc>
                <w:tcPr>
                  <w:tcW w:w="537" w:type="pct"/>
                  <w:vAlign w:val="center"/>
                </w:tcPr>
                <w:p w14:paraId="03011DE2">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451"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检验医学科</w:t>
                  </w:r>
                </w:p>
              </w:tc>
              <w:tc>
                <w:tcPr>
                  <w:tcW w:w="592"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ZCB-2025-YS-02</w:t>
                  </w:r>
                  <w:r>
                    <w:rPr>
                      <w:rFonts w:hint="eastAsia" w:cs="Times New Roman" w:asciiTheme="majorEastAsia" w:hAnsiTheme="majorEastAsia" w:eastAsiaTheme="majorEastAsia"/>
                      <w:kern w:val="2"/>
                      <w:sz w:val="24"/>
                      <w:szCs w:val="21"/>
                      <w:lang w:val="en-US" w:eastAsia="zh-CN" w:bidi="ar-SA"/>
                    </w:rPr>
                    <w:t>8</w:t>
                  </w:r>
                </w:p>
              </w:tc>
              <w:tc>
                <w:tcPr>
                  <w:tcW w:w="768" w:type="pct"/>
                  <w:shd w:val="clear" w:color="auto" w:fill="auto"/>
                  <w:vAlign w:val="center"/>
                </w:tcPr>
                <w:p w14:paraId="4C9E8882">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全自动核酸检测分析仪</w:t>
                  </w:r>
                </w:p>
              </w:tc>
              <w:tc>
                <w:tcPr>
                  <w:tcW w:w="474" w:type="pct"/>
                  <w:shd w:val="clear" w:color="auto" w:fill="auto"/>
                  <w:vAlign w:val="center"/>
                </w:tcPr>
                <w:p w14:paraId="0BE9C214">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bCs/>
                      <w:sz w:val="24"/>
                      <w:szCs w:val="21"/>
                    </w:rPr>
                    <w:t>国产</w:t>
                  </w:r>
                </w:p>
              </w:tc>
              <w:tc>
                <w:tcPr>
                  <w:tcW w:w="209" w:type="pct"/>
                  <w:shd w:val="clear" w:color="auto" w:fill="auto"/>
                  <w:vAlign w:val="center"/>
                </w:tcPr>
                <w:p w14:paraId="52151EC3">
                  <w:pPr>
                    <w:keepNext w:val="0"/>
                    <w:keepLines w:val="0"/>
                    <w:suppressLineNumbers w:val="0"/>
                    <w:adjustRightInd w:val="0"/>
                    <w:snapToGrid w:val="0"/>
                    <w:spacing w:before="0" w:beforeAutospacing="0" w:after="0" w:afterAutospacing="0"/>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4</w:t>
                  </w:r>
                </w:p>
              </w:tc>
              <w:tc>
                <w:tcPr>
                  <w:tcW w:w="321" w:type="pct"/>
                  <w:shd w:val="clear" w:color="auto" w:fill="auto"/>
                  <w:vAlign w:val="center"/>
                </w:tcPr>
                <w:p w14:paraId="7897506E">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台</w:t>
                  </w:r>
                </w:p>
              </w:tc>
              <w:tc>
                <w:tcPr>
                  <w:tcW w:w="398" w:type="pct"/>
                  <w:shd w:val="clear" w:color="auto" w:fill="auto"/>
                  <w:vAlign w:val="center"/>
                </w:tcPr>
                <w:p w14:paraId="68F3EF88">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default" w:asciiTheme="majorEastAsia" w:hAnsiTheme="majorEastAsia" w:eastAsiaTheme="majorEastAsia"/>
                      <w:sz w:val="24"/>
                      <w:szCs w:val="21"/>
                    </w:rPr>
                    <w:t>.15</w:t>
                  </w:r>
                </w:p>
              </w:tc>
              <w:tc>
                <w:tcPr>
                  <w:tcW w:w="446" w:type="pct"/>
                  <w:shd w:val="clear" w:color="auto" w:fill="auto"/>
                  <w:vAlign w:val="center"/>
                </w:tcPr>
                <w:p w14:paraId="26164253">
                  <w:pPr>
                    <w:keepNext w:val="0"/>
                    <w:keepLines w:val="0"/>
                    <w:suppressLineNumbers w:val="0"/>
                    <w:adjustRightInd w:val="0"/>
                    <w:snapToGrid w:val="0"/>
                    <w:spacing w:before="0" w:beforeAutospacing="0" w:after="0" w:afterAutospacing="0"/>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w:t>
                  </w:r>
                  <w:r>
                    <w:rPr>
                      <w:rFonts w:hint="default" w:asciiTheme="majorEastAsia" w:hAnsiTheme="majorEastAsia" w:eastAsiaTheme="majorEastAsia"/>
                      <w:sz w:val="24"/>
                      <w:szCs w:val="21"/>
                    </w:rPr>
                    <w:t>.</w:t>
                  </w:r>
                  <w:r>
                    <w:rPr>
                      <w:rFonts w:hint="eastAsia" w:asciiTheme="majorEastAsia" w:hAnsiTheme="majorEastAsia" w:eastAsiaTheme="majorEastAsia"/>
                      <w:sz w:val="24"/>
                      <w:szCs w:val="21"/>
                      <w:lang w:val="en-US" w:eastAsia="zh-CN"/>
                    </w:rPr>
                    <w:t>6</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451" w:type="pct"/>
                  <w:vAlign w:val="center"/>
                </w:tcPr>
                <w:p w14:paraId="27646A3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检验医学科</w:t>
                  </w:r>
                </w:p>
              </w:tc>
              <w:tc>
                <w:tcPr>
                  <w:tcW w:w="592" w:type="pct"/>
                  <w:vAlign w:val="center"/>
                </w:tcPr>
                <w:p w14:paraId="106C5BE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ZCB-2025-YS-02</w:t>
                  </w:r>
                  <w:r>
                    <w:rPr>
                      <w:rFonts w:hint="eastAsia" w:cs="Times New Roman" w:asciiTheme="majorEastAsia" w:hAnsiTheme="majorEastAsia" w:eastAsiaTheme="majorEastAsia"/>
                      <w:kern w:val="2"/>
                      <w:sz w:val="24"/>
                      <w:szCs w:val="21"/>
                      <w:lang w:val="en-US" w:eastAsia="zh-CN" w:bidi="ar-SA"/>
                    </w:rPr>
                    <w:t>9</w:t>
                  </w:r>
                </w:p>
              </w:tc>
              <w:tc>
                <w:tcPr>
                  <w:tcW w:w="768" w:type="pct"/>
                  <w:shd w:val="clear" w:color="auto" w:fill="auto"/>
                  <w:vAlign w:val="center"/>
                </w:tcPr>
                <w:p w14:paraId="79C6FCB1">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kern w:val="2"/>
                      <w:sz w:val="24"/>
                      <w:szCs w:val="21"/>
                      <w:lang w:val="en-US" w:eastAsia="zh-CN" w:bidi="ar-SA"/>
                    </w:rPr>
                    <w:t>全自动化学发光测定仪（过敏源定量检测）</w:t>
                  </w:r>
                </w:p>
              </w:tc>
              <w:tc>
                <w:tcPr>
                  <w:tcW w:w="474" w:type="pct"/>
                  <w:shd w:val="clear" w:color="auto" w:fill="auto"/>
                  <w:vAlign w:val="center"/>
                </w:tcPr>
                <w:p w14:paraId="0EF1015F">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bCs/>
                      <w:sz w:val="24"/>
                      <w:szCs w:val="21"/>
                    </w:rPr>
                  </w:pPr>
                  <w:r>
                    <w:rPr>
                      <w:rFonts w:hint="eastAsia" w:asciiTheme="majorEastAsia" w:hAnsiTheme="majorEastAsia" w:eastAsiaTheme="majorEastAsia"/>
                      <w:bCs/>
                      <w:sz w:val="24"/>
                      <w:szCs w:val="21"/>
                    </w:rPr>
                    <w:t>国产</w:t>
                  </w:r>
                </w:p>
              </w:tc>
              <w:tc>
                <w:tcPr>
                  <w:tcW w:w="209" w:type="pct"/>
                  <w:shd w:val="clear" w:color="auto" w:fill="auto"/>
                  <w:vAlign w:val="center"/>
                </w:tcPr>
                <w:p w14:paraId="222ED3E2">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w:t>
                  </w:r>
                </w:p>
              </w:tc>
              <w:tc>
                <w:tcPr>
                  <w:tcW w:w="321" w:type="pct"/>
                  <w:shd w:val="clear" w:color="auto" w:fill="auto"/>
                  <w:vAlign w:val="center"/>
                </w:tcPr>
                <w:p w14:paraId="7F568057">
                  <w:pPr>
                    <w:keepNext w:val="0"/>
                    <w:keepLines w:val="0"/>
                    <w:suppressLineNumbers w:val="0"/>
                    <w:adjustRightInd w:val="0"/>
                    <w:snapToGrid w:val="0"/>
                    <w:spacing w:before="0" w:beforeAutospacing="0" w:after="0" w:afterAutospacing="0"/>
                    <w:ind w:left="0" w:right="0"/>
                    <w:jc w:val="center"/>
                    <w:rPr>
                      <w:rFonts w:hint="eastAsia" w:asciiTheme="majorEastAsia" w:hAnsiTheme="majorEastAsia" w:eastAsiaTheme="majorEastAsia"/>
                      <w:sz w:val="24"/>
                      <w:szCs w:val="21"/>
                    </w:rPr>
                  </w:pPr>
                  <w:r>
                    <w:rPr>
                      <w:rFonts w:hint="eastAsia" w:asciiTheme="majorEastAsia" w:hAnsiTheme="majorEastAsia" w:eastAsiaTheme="majorEastAsia"/>
                      <w:sz w:val="24"/>
                      <w:szCs w:val="21"/>
                    </w:rPr>
                    <w:t>台</w:t>
                  </w:r>
                </w:p>
              </w:tc>
              <w:tc>
                <w:tcPr>
                  <w:tcW w:w="398" w:type="pct"/>
                  <w:shd w:val="clear" w:color="auto" w:fill="auto"/>
                  <w:vAlign w:val="center"/>
                </w:tcPr>
                <w:p w14:paraId="59E742BE">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0.15</w:t>
                  </w:r>
                </w:p>
              </w:tc>
              <w:tc>
                <w:tcPr>
                  <w:tcW w:w="446" w:type="pct"/>
                  <w:shd w:val="clear" w:color="auto" w:fill="auto"/>
                  <w:vAlign w:val="center"/>
                </w:tcPr>
                <w:p w14:paraId="4680B02D">
                  <w:pPr>
                    <w:keepNext w:val="0"/>
                    <w:keepLines w:val="0"/>
                    <w:suppressLineNumbers w:val="0"/>
                    <w:adjustRightInd w:val="0"/>
                    <w:snapToGrid w:val="0"/>
                    <w:spacing w:before="0" w:beforeAutospacing="0" w:after="0" w:afterAutospacing="0"/>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0.15</w:t>
                  </w:r>
                </w:p>
              </w:tc>
              <w:tc>
                <w:tcPr>
                  <w:tcW w:w="537" w:type="pct"/>
                  <w:shd w:val="clear" w:color="auto" w:fill="auto"/>
                  <w:vAlign w:val="center"/>
                </w:tcPr>
                <w:p w14:paraId="1833AFD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833B66D">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17</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9</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19</w:t>
            </w:r>
            <w:r>
              <w:rPr>
                <w:rFonts w:hint="eastAsia" w:hAnsi="宋体"/>
                <w:b/>
                <w:bCs/>
                <w:color w:val="000000"/>
                <w:kern w:val="0"/>
                <w:sz w:val="24"/>
                <w:szCs w:val="22"/>
                <w:highlight w:val="yellow"/>
              </w:rPr>
              <w:t>日下午17:00截止。</w:t>
            </w:r>
          </w:p>
          <w:p w14:paraId="35A78F43">
            <w:pPr>
              <w:keepNext w:val="0"/>
              <w:keepLines w:val="0"/>
              <w:suppressLineNumbers w:val="0"/>
              <w:spacing w:before="0" w:beforeAutospacing="0" w:after="0" w:afterAutospacing="0"/>
              <w:ind w:left="840" w:leftChars="400" w:right="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w:t>
            </w:r>
            <w:r>
              <w:rPr>
                <w:rFonts w:hint="eastAsia" w:hAnsi="宋体"/>
                <w:b/>
                <w:bCs/>
                <w:color w:val="000000"/>
                <w:kern w:val="0"/>
                <w:sz w:val="24"/>
                <w:lang w:val="en-US" w:eastAsia="zh-CN"/>
              </w:rPr>
              <w:t>7</w:t>
            </w:r>
            <w:r>
              <w:rPr>
                <w:rFonts w:hint="default" w:hAnsi="宋体"/>
                <w:b/>
                <w:bCs/>
                <w:color w:val="000000"/>
                <w:kern w:val="0"/>
                <w:sz w:val="24"/>
              </w:rPr>
              <w:fldChar w:fldCharType="end"/>
            </w:r>
            <w:r>
              <w:rPr>
                <w:rFonts w:hint="eastAsia" w:hAnsi="宋体"/>
                <w:b/>
                <w:bCs/>
                <w:color w:val="000000"/>
                <w:kern w:val="0"/>
                <w:sz w:val="24"/>
                <w:lang w:val="en-US" w:eastAsia="zh-CN"/>
              </w:rPr>
              <w:t>9641049@qq.com</w:t>
            </w:r>
            <w:r>
              <w:rPr>
                <w:rFonts w:hint="eastAsia"/>
                <w:b/>
                <w:color w:val="FF0000"/>
              </w:rPr>
              <w:t xml:space="preserve"> 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5</w:t>
            </w:r>
            <w:r>
              <w:rPr>
                <w:rFonts w:hint="eastAsia" w:hAnsi="宋体"/>
                <w:b/>
                <w:bCs/>
                <w:color w:val="000000"/>
                <w:kern w:val="0"/>
                <w:sz w:val="24"/>
                <w:u w:val="single"/>
              </w:rPr>
              <w:t>年</w:t>
            </w:r>
            <w:r>
              <w:rPr>
                <w:rFonts w:hint="eastAsia" w:hAnsi="宋体"/>
                <w:b/>
                <w:bCs/>
                <w:color w:val="000000"/>
                <w:kern w:val="0"/>
                <w:sz w:val="24"/>
                <w:u w:val="single"/>
                <w:lang w:val="en-US" w:eastAsia="zh-CN"/>
              </w:rPr>
              <w:t>9</w:t>
            </w:r>
            <w:r>
              <w:rPr>
                <w:rFonts w:hint="eastAsia" w:hAnsi="宋体"/>
                <w:b/>
                <w:bCs/>
                <w:color w:val="000000"/>
                <w:kern w:val="0"/>
                <w:sz w:val="24"/>
                <w:u w:val="single"/>
              </w:rPr>
              <w:t>月</w:t>
            </w:r>
            <w:r>
              <w:rPr>
                <w:rFonts w:hint="eastAsia" w:hAnsi="宋体"/>
                <w:b/>
                <w:bCs/>
                <w:color w:val="000000"/>
                <w:kern w:val="0"/>
                <w:sz w:val="24"/>
                <w:u w:val="single"/>
                <w:lang w:val="en-US" w:eastAsia="zh-CN"/>
              </w:rPr>
              <w:t>23</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周二</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下午2</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2</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2025年9月16日</w:t>
            </w:r>
            <w:bookmarkStart w:id="23" w:name="_GoBack"/>
            <w:bookmarkEnd w:id="23"/>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43DF3C82">
      <w:pPr>
        <w:pStyle w:val="42"/>
        <w:numPr>
          <w:ilvl w:val="0"/>
          <w:numId w:val="7"/>
        </w:numPr>
        <w:adjustRightInd w:val="0"/>
        <w:snapToGrid w:val="0"/>
        <w:spacing w:line="360" w:lineRule="auto"/>
        <w:ind w:firstLine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附件1：</w:t>
      </w:r>
      <w:r>
        <w:rPr>
          <w:rFonts w:hint="eastAsia" w:ascii="宋体" w:hAnsi="宋体" w:cs="宋体"/>
          <w:b/>
          <w:bCs/>
          <w:color w:val="000000" w:themeColor="text1"/>
          <w:kern w:val="0"/>
          <w:sz w:val="24"/>
          <w:lang w:eastAsia="zh-CN"/>
          <w14:textFill>
            <w14:solidFill>
              <w14:schemeClr w14:val="tx1"/>
            </w14:solidFill>
          </w14:textFill>
        </w:rPr>
        <w:t>全自动血液分析系统（</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4C245EAF">
      <w:pPr>
        <w:pStyle w:val="42"/>
        <w:numPr>
          <w:ilvl w:val="0"/>
          <w:numId w:val="7"/>
        </w:numPr>
        <w:adjustRightInd w:val="0"/>
        <w:snapToGrid w:val="0"/>
        <w:spacing w:line="360" w:lineRule="auto"/>
        <w:ind w:firstLine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附件2：</w:t>
      </w:r>
      <w:r>
        <w:rPr>
          <w:rFonts w:hint="eastAsia" w:ascii="宋体" w:hAnsi="宋体" w:cs="宋体"/>
          <w:b/>
          <w:bCs/>
          <w:color w:val="000000" w:themeColor="text1"/>
          <w:kern w:val="0"/>
          <w:sz w:val="24"/>
          <w:lang w:eastAsia="zh-CN"/>
          <w14:textFill>
            <w14:solidFill>
              <w14:schemeClr w14:val="tx1"/>
            </w14:solidFill>
          </w14:textFill>
        </w:rPr>
        <w:t>全自动核酸检测分析仪（</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01569C44">
      <w:pPr>
        <w:pStyle w:val="42"/>
        <w:numPr>
          <w:ilvl w:val="0"/>
          <w:numId w:val="7"/>
        </w:numPr>
        <w:adjustRightInd w:val="0"/>
        <w:snapToGrid w:val="0"/>
        <w:spacing w:line="360" w:lineRule="auto"/>
        <w:ind w:firstLineChars="0"/>
        <w:outlineLvl w:val="2"/>
        <w:rPr>
          <w:rFonts w:hint="eastAsia" w:ascii="宋体" w:hAnsi="宋体" w:cs="宋体"/>
          <w:b/>
          <w:bCs/>
          <w:color w:val="000000" w:themeColor="text1"/>
          <w:kern w:val="0"/>
          <w:sz w:val="24"/>
          <w:lang w:eastAsia="zh-CN"/>
          <w14:textFill>
            <w14:solidFill>
              <w14:schemeClr w14:val="tx1"/>
            </w14:solidFill>
          </w14:textFill>
        </w:rPr>
      </w:pPr>
      <w:r>
        <w:rPr>
          <w:rFonts w:hint="eastAsia" w:ascii="宋体" w:hAnsi="宋体" w:cs="宋体"/>
          <w:b/>
          <w:bCs/>
          <w:color w:val="000000" w:themeColor="text1"/>
          <w:kern w:val="0"/>
          <w:sz w:val="24"/>
          <w:lang w:val="en-US" w:eastAsia="zh-CN"/>
          <w14:textFill>
            <w14:solidFill>
              <w14:schemeClr w14:val="tx1"/>
            </w14:solidFill>
          </w14:textFill>
        </w:rPr>
        <w:t>附件3：</w:t>
      </w:r>
      <w:r>
        <w:rPr>
          <w:rFonts w:hint="eastAsia" w:ascii="宋体" w:hAnsi="宋体" w:cs="宋体"/>
          <w:b/>
          <w:bCs/>
          <w:color w:val="000000" w:themeColor="text1"/>
          <w:kern w:val="0"/>
          <w:sz w:val="24"/>
          <w:lang w:eastAsia="zh-CN"/>
          <w14:textFill>
            <w14:solidFill>
              <w14:schemeClr w14:val="tx1"/>
            </w14:solidFill>
          </w14:textFill>
        </w:rPr>
        <w:t>全自动化学发光测定仪（过敏源定量检测）（</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435115056"/>
      <w:bookmarkStart w:id="3" w:name="_Toc435514851"/>
      <w:bookmarkStart w:id="4" w:name="_Toc9128_WPSOffice_Level1"/>
      <w:bookmarkStart w:id="5" w:name="_Toc8307306"/>
      <w:bookmarkStart w:id="6" w:name="_Toc57128626"/>
      <w:bookmarkStart w:id="7" w:name="_Toc24338"/>
      <w:bookmarkStart w:id="8" w:name="_Toc22206"/>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4"/>
        <w:ind w:left="420"/>
        <w:jc w:val="center"/>
        <w:rPr>
          <w:rFonts w:asciiTheme="majorEastAsia" w:hAnsiTheme="majorEastAsia" w:eastAsiaTheme="majorEastAsia" w:cstheme="majorEastAsia"/>
          <w:sz w:val="30"/>
          <w:szCs w:val="30"/>
        </w:rPr>
      </w:pPr>
      <w:bookmarkStart w:id="9" w:name="_Toc435515292"/>
      <w:bookmarkStart w:id="10" w:name="_Toc8080"/>
      <w:bookmarkStart w:id="11" w:name="_Toc57128627"/>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5" w:name="_Toc24650"/>
      <w:bookmarkStart w:id="16" w:name="_Toc57128632"/>
      <w:bookmarkStart w:id="17" w:name="_Toc275865606"/>
      <w:bookmarkStart w:id="18" w:name="_Toc435515295"/>
      <w:bookmarkStart w:id="19" w:name="_Toc43551485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4"/>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
  </w:num>
  <w:num w:numId="8">
    <w:abstractNumId w:val="12"/>
  </w:num>
  <w:num w:numId="9">
    <w:abstractNumId w:val="17"/>
  </w:num>
  <w:num w:numId="10">
    <w:abstractNumId w:val="6"/>
  </w:num>
  <w:num w:numId="11">
    <w:abstractNumId w:val="14"/>
  </w:num>
  <w:num w:numId="12">
    <w:abstractNumId w:val="15"/>
  </w:num>
  <w:num w:numId="13">
    <w:abstractNumId w:val="0"/>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DD499F"/>
    <w:rsid w:val="7C221CC7"/>
    <w:rsid w:val="7C5C4760"/>
    <w:rsid w:val="7C8D3A42"/>
    <w:rsid w:val="7C9E2682"/>
    <w:rsid w:val="7CA828C1"/>
    <w:rsid w:val="7D4E22FA"/>
    <w:rsid w:val="7D7A4E9D"/>
    <w:rsid w:val="7D9F7EBB"/>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2"/>
    <w:qFormat/>
    <w:uiPriority w:val="0"/>
    <w:pPr>
      <w:outlineLvl w:val="1"/>
    </w:pPr>
    <w:rPr>
      <w:rFonts w:ascii="Cambria" w:hAnsi="Cambria" w:cs="宋体"/>
    </w:rPr>
  </w:style>
  <w:style w:type="paragraph" w:styleId="5">
    <w:name w:val="heading 3"/>
    <w:basedOn w:val="1"/>
    <w:next w:val="1"/>
    <w:link w:val="53"/>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style>
  <w:style w:type="paragraph" w:styleId="7">
    <w:name w:val="Normal Indent"/>
    <w:basedOn w:val="1"/>
    <w:link w:val="51"/>
    <w:autoRedefine/>
    <w:qFormat/>
    <w:uiPriority w:val="0"/>
    <w:pPr>
      <w:autoSpaceDE w:val="0"/>
      <w:autoSpaceDN w:val="0"/>
      <w:spacing w:line="360" w:lineRule="auto"/>
      <w:ind w:left="181" w:firstLine="420"/>
    </w:pPr>
    <w:rPr>
      <w:sz w:val="24"/>
      <w:szCs w:val="20"/>
    </w:rPr>
  </w:style>
  <w:style w:type="paragraph" w:styleId="8">
    <w:name w:val="Document Map"/>
    <w:basedOn w:val="1"/>
    <w:link w:val="60"/>
    <w:autoRedefine/>
    <w:qFormat/>
    <w:uiPriority w:val="0"/>
    <w:pPr>
      <w:shd w:val="clear" w:color="auto" w:fill="000080"/>
    </w:pPr>
  </w:style>
  <w:style w:type="paragraph" w:styleId="9">
    <w:name w:val="annotation text"/>
    <w:basedOn w:val="1"/>
    <w:link w:val="46"/>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9"/>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9"/>
    <w:autoRedefine/>
    <w:qFormat/>
    <w:uiPriority w:val="99"/>
    <w:rPr>
      <w:rFonts w:ascii="Times New Roman" w:hAnsi="Times New Roman"/>
      <w:kern w:val="2"/>
      <w:sz w:val="21"/>
      <w:szCs w:val="24"/>
    </w:rPr>
  </w:style>
  <w:style w:type="character" w:customStyle="1" w:styleId="47">
    <w:name w:val="标题 1 Char"/>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7"/>
    <w:autoRedefine/>
    <w:qFormat/>
    <w:uiPriority w:val="0"/>
    <w:rPr>
      <w:rFonts w:ascii="Times New Roman" w:hAnsi="Times New Roman" w:eastAsia="宋体"/>
      <w:kern w:val="2"/>
      <w:sz w:val="24"/>
    </w:rPr>
  </w:style>
  <w:style w:type="character" w:customStyle="1" w:styleId="52">
    <w:name w:val="标题 2 Char"/>
    <w:basedOn w:val="28"/>
    <w:link w:val="4"/>
    <w:autoRedefine/>
    <w:qFormat/>
    <w:uiPriority w:val="9"/>
    <w:rPr>
      <w:rFonts w:ascii="Cambria" w:hAnsi="Cambria" w:eastAsia="宋体" w:cs="宋体"/>
      <w:b/>
      <w:bCs/>
      <w:kern w:val="2"/>
      <w:sz w:val="32"/>
      <w:szCs w:val="32"/>
    </w:rPr>
  </w:style>
  <w:style w:type="character" w:customStyle="1" w:styleId="53">
    <w:name w:val="标题 3 Char"/>
    <w:basedOn w:val="28"/>
    <w:link w:val="5"/>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8"/>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2"/>
    <w:autoRedefine/>
    <w:qFormat/>
    <w:uiPriority w:val="0"/>
    <w:rPr>
      <w:kern w:val="2"/>
      <w:sz w:val="21"/>
      <w:szCs w:val="24"/>
    </w:rPr>
  </w:style>
  <w:style w:type="paragraph" w:customStyle="1" w:styleId="65">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1"/>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13439</Words>
  <Characters>13742</Characters>
  <Lines>1</Lines>
  <Paragraphs>1</Paragraphs>
  <TotalTime>2</TotalTime>
  <ScaleCrop>false</ScaleCrop>
  <LinksUpToDate>false</LinksUpToDate>
  <CharactersWithSpaces>14118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2025-09-17T03:08:43Z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