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4721" w:type="pct"/>
        <w:tblInd w:w="493" w:type="dxa"/>
        <w:tblLayout w:type="autofit"/>
        <w:tblCellMar>
          <w:top w:w="0" w:type="dxa"/>
          <w:left w:w="108" w:type="dxa"/>
          <w:bottom w:w="0" w:type="dxa"/>
          <w:right w:w="108" w:type="dxa"/>
        </w:tblCellMar>
      </w:tblPr>
      <w:tblGrid>
        <w:gridCol w:w="469"/>
        <w:gridCol w:w="2086"/>
        <w:gridCol w:w="3686"/>
        <w:gridCol w:w="2121"/>
      </w:tblGrid>
      <w:tr w14:paraId="6514ED7A">
        <w:tblPrEx>
          <w:tblCellMar>
            <w:top w:w="0" w:type="dxa"/>
            <w:left w:w="108" w:type="dxa"/>
            <w:bottom w:w="0" w:type="dxa"/>
            <w:right w:w="108" w:type="dxa"/>
          </w:tblCellMar>
        </w:tblPrEx>
        <w:trPr>
          <w:trHeight w:val="40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45</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47"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204"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267"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281"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247"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45</w:t>
            </w:r>
            <w:r>
              <w:rPr>
                <w:rFonts w:hint="default" w:eastAsia="宋体" w:cs="Times New Roman"/>
                <w:color w:val="000000"/>
                <w:kern w:val="0"/>
                <w:sz w:val="22"/>
                <w:szCs w:val="22"/>
                <w:lang w:val="en-US" w:eastAsia="zh-CN" w:bidi="ar"/>
              </w:rPr>
              <w:t>-1</w:t>
            </w:r>
            <w:r>
              <w:rPr>
                <w:rFonts w:hint="eastAsia" w:eastAsia="宋体" w:cs="Times New Roman"/>
                <w:color w:val="000000"/>
                <w:kern w:val="0"/>
                <w:sz w:val="22"/>
                <w:szCs w:val="22"/>
                <w:lang w:val="en-US" w:eastAsia="zh-CN" w:bidi="ar"/>
              </w:rPr>
              <w:t>85</w:t>
            </w:r>
          </w:p>
        </w:tc>
        <w:tc>
          <w:tcPr>
            <w:tcW w:w="2204"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经导管二尖瓣夹及可操控导引导管一套</w:t>
            </w:r>
          </w:p>
        </w:tc>
        <w:tc>
          <w:tcPr>
            <w:tcW w:w="1267"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心血管内科二病区</w:t>
            </w:r>
          </w:p>
        </w:tc>
      </w:tr>
    </w:tbl>
    <w:p w14:paraId="1573C03F">
      <w:pPr>
        <w:pStyle w:val="11"/>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第45期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第45期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13</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w:t>
      </w:r>
      <w:r>
        <w:rPr>
          <w:rFonts w:hint="eastAsia" w:ascii="Tahoma" w:hAnsi="Tahoma" w:cs="宋体"/>
          <w:kern w:val="0"/>
          <w:szCs w:val="21"/>
          <w:highlight w:val="none"/>
          <w:lang w:val="en-US" w:eastAsia="zh-CN"/>
        </w:rPr>
        <w:t>报名后等通知，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8</w:t>
      </w:r>
      <w:r>
        <w:rPr>
          <w:rFonts w:hint="eastAsia" w:ascii="Times New Roman" w:hAnsi="Times New Roman" w:cs="Times New Roman"/>
          <w:b/>
          <w:highlight w:val="yellow"/>
          <w:lang w:val="en-US" w:eastAsia="zh-CN"/>
        </w:rPr>
        <w:t>月1</w:t>
      </w:r>
      <w:r>
        <w:rPr>
          <w:rFonts w:hint="eastAsia" w:cs="Times New Roman"/>
          <w:b/>
          <w:highlight w:val="yellow"/>
          <w:lang w:val="en-US" w:eastAsia="zh-CN"/>
        </w:rPr>
        <w:t>4</w:t>
      </w:r>
      <w:r>
        <w:rPr>
          <w:rFonts w:hint="eastAsia" w:ascii="Times New Roman" w:hAnsi="Times New Roman" w:cs="Times New Roman"/>
          <w:b/>
          <w:highlight w:val="yellow"/>
          <w:lang w:val="en-US" w:eastAsia="zh-CN"/>
        </w:rPr>
        <w:t>日</w:t>
      </w:r>
      <w:bookmarkStart w:id="95" w:name="_GoBack"/>
      <w:bookmarkEnd w:id="95"/>
      <w:r>
        <w:rPr>
          <w:rFonts w:hint="eastAsia" w:cs="Times New Roman"/>
          <w:b/>
          <w:highlight w:val="yellow"/>
          <w:lang w:val="en-US" w:eastAsia="zh-CN"/>
        </w:rPr>
        <w:t>15：00</w:t>
      </w:r>
      <w:r>
        <w:rPr>
          <w:rFonts w:hint="eastAsia" w:ascii="Times New Roman" w:hAnsi="Times New Roman" w:cs="Times New Roman"/>
          <w:b/>
          <w:highlight w:val="yellow"/>
          <w:lang w:val="en-US" w:eastAsia="zh-CN"/>
        </w:rPr>
        <w:t>，福田区福华路92号福星北小区中山大学附属第八医院(深圳福田)行政楼</w:t>
      </w:r>
      <w:r>
        <w:rPr>
          <w:rFonts w:hint="eastAsia" w:cs="Times New Roman"/>
          <w:b/>
          <w:highlight w:val="yellow"/>
          <w:lang w:val="en-US" w:eastAsia="zh-CN"/>
        </w:rPr>
        <w:t>4</w:t>
      </w:r>
      <w:r>
        <w:rPr>
          <w:rFonts w:hint="eastAsia" w:ascii="Times New Roman" w:hAnsi="Times New Roman" w:cs="Times New Roman"/>
          <w:b/>
          <w:highlight w:val="yellow"/>
          <w:lang w:val="en-US" w:eastAsia="zh-CN"/>
        </w:rPr>
        <w:t xml:space="preserve">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1"/>
      </w:pPr>
    </w:p>
    <w:p w14:paraId="61565BE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53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856"/>
        <w:gridCol w:w="1051"/>
        <w:gridCol w:w="2266"/>
        <w:gridCol w:w="1309"/>
        <w:gridCol w:w="562"/>
        <w:gridCol w:w="1158"/>
        <w:gridCol w:w="1123"/>
        <w:gridCol w:w="1179"/>
        <w:gridCol w:w="1093"/>
      </w:tblGrid>
      <w:tr w14:paraId="2596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363" w:type="pct"/>
            <w:shd w:val="clear" w:color="auto" w:fill="auto"/>
            <w:vAlign w:val="center"/>
          </w:tcPr>
          <w:p w14:paraId="0EB36A13">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使用科室</w:t>
            </w:r>
          </w:p>
        </w:tc>
        <w:tc>
          <w:tcPr>
            <w:tcW w:w="374" w:type="pct"/>
            <w:shd w:val="clear" w:color="auto" w:fill="auto"/>
            <w:vAlign w:val="center"/>
          </w:tcPr>
          <w:p w14:paraId="1EE13828">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项目编号</w:t>
            </w:r>
          </w:p>
        </w:tc>
        <w:tc>
          <w:tcPr>
            <w:tcW w:w="459" w:type="pct"/>
            <w:shd w:val="clear" w:color="auto" w:fill="auto"/>
            <w:vAlign w:val="center"/>
          </w:tcPr>
          <w:p w14:paraId="53E29A87">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项目名称</w:t>
            </w:r>
          </w:p>
        </w:tc>
        <w:tc>
          <w:tcPr>
            <w:tcW w:w="991" w:type="pct"/>
            <w:shd w:val="clear" w:color="auto" w:fill="auto"/>
            <w:vAlign w:val="center"/>
          </w:tcPr>
          <w:p w14:paraId="216A66B5">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572" w:type="pct"/>
            <w:vAlign w:val="center"/>
          </w:tcPr>
          <w:p w14:paraId="33DC82CC">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型号</w:t>
            </w:r>
          </w:p>
        </w:tc>
        <w:tc>
          <w:tcPr>
            <w:tcW w:w="245" w:type="pct"/>
            <w:vAlign w:val="center"/>
          </w:tcPr>
          <w:p w14:paraId="416AFB6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506" w:type="pct"/>
            <w:vAlign w:val="center"/>
          </w:tcPr>
          <w:p w14:paraId="112E7412">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p>
        </w:tc>
        <w:tc>
          <w:tcPr>
            <w:tcW w:w="491" w:type="pct"/>
            <w:vAlign w:val="center"/>
          </w:tcPr>
          <w:p w14:paraId="3C023E0F">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预算单价</w:t>
            </w:r>
          </w:p>
          <w:p w14:paraId="281C325C">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（元）</w:t>
            </w:r>
          </w:p>
        </w:tc>
        <w:tc>
          <w:tcPr>
            <w:tcW w:w="515" w:type="pct"/>
            <w:vAlign w:val="center"/>
          </w:tcPr>
          <w:p w14:paraId="29514E91">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478" w:type="pct"/>
            <w:shd w:val="clear" w:color="auto" w:fill="auto"/>
            <w:vAlign w:val="center"/>
          </w:tcPr>
          <w:p w14:paraId="68041B8F">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2315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3" w:type="pct"/>
            <w:vMerge w:val="restart"/>
            <w:shd w:val="clear" w:color="auto" w:fill="auto"/>
            <w:vAlign w:val="center"/>
          </w:tcPr>
          <w:p w14:paraId="51591DD3">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心血管内科二病区</w:t>
            </w:r>
          </w:p>
        </w:tc>
        <w:tc>
          <w:tcPr>
            <w:tcW w:w="374" w:type="pct"/>
            <w:vMerge w:val="restart"/>
            <w:shd w:val="clear" w:color="auto" w:fill="auto"/>
            <w:vAlign w:val="center"/>
          </w:tcPr>
          <w:p w14:paraId="3189D80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45</w:t>
            </w:r>
            <w:r>
              <w:rPr>
                <w:rFonts w:hint="default" w:eastAsia="宋体" w:cs="Times New Roman"/>
                <w:color w:val="000000"/>
                <w:kern w:val="0"/>
                <w:sz w:val="22"/>
                <w:szCs w:val="22"/>
                <w:lang w:val="en-US" w:eastAsia="zh-CN" w:bidi="ar"/>
              </w:rPr>
              <w:t>-1</w:t>
            </w:r>
            <w:r>
              <w:rPr>
                <w:rFonts w:hint="eastAsia" w:eastAsia="宋体" w:cs="Times New Roman"/>
                <w:color w:val="000000"/>
                <w:kern w:val="0"/>
                <w:sz w:val="22"/>
                <w:szCs w:val="22"/>
                <w:lang w:val="en-US" w:eastAsia="zh-CN" w:bidi="ar"/>
              </w:rPr>
              <w:t>85</w:t>
            </w:r>
          </w:p>
        </w:tc>
        <w:tc>
          <w:tcPr>
            <w:tcW w:w="459" w:type="pct"/>
            <w:vMerge w:val="restart"/>
            <w:shd w:val="clear" w:color="auto" w:fill="auto"/>
            <w:vAlign w:val="center"/>
          </w:tcPr>
          <w:p w14:paraId="498FAB2D">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经导管二尖瓣夹及可操控导引导管一套</w:t>
            </w:r>
          </w:p>
        </w:tc>
        <w:tc>
          <w:tcPr>
            <w:tcW w:w="991" w:type="pct"/>
            <w:shd w:val="clear" w:color="auto" w:fill="auto"/>
            <w:vAlign w:val="center"/>
          </w:tcPr>
          <w:p w14:paraId="5959969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经导管二尖瓣夹及可操控导引导管-二尖瓣夹导管输送系统</w:t>
            </w:r>
          </w:p>
        </w:tc>
        <w:tc>
          <w:tcPr>
            <w:tcW w:w="572" w:type="pct"/>
            <w:shd w:val="clear" w:color="auto" w:fill="auto"/>
            <w:vAlign w:val="center"/>
          </w:tcPr>
          <w:p w14:paraId="1AD721D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CDS0601-NTR/CDS0601-XTR</w:t>
            </w:r>
          </w:p>
        </w:tc>
        <w:tc>
          <w:tcPr>
            <w:tcW w:w="245" w:type="pct"/>
            <w:shd w:val="clear" w:color="auto" w:fill="auto"/>
            <w:vAlign w:val="center"/>
          </w:tcPr>
          <w:p w14:paraId="347C5CFC">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506" w:type="pct"/>
            <w:shd w:val="clear" w:color="auto" w:fill="auto"/>
            <w:vAlign w:val="center"/>
          </w:tcPr>
          <w:p w14:paraId="7E5D679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根据术中</w:t>
            </w:r>
            <w:r>
              <w:rPr>
                <w:rFonts w:hint="eastAsia" w:eastAsia="宋体" w:cs="Times New Roman"/>
                <w:color w:val="000000"/>
                <w:kern w:val="0"/>
                <w:sz w:val="22"/>
                <w:szCs w:val="22"/>
                <w:lang w:val="en-US" w:eastAsia="zh-CN" w:bidi="ar"/>
              </w:rPr>
              <w:t>情况</w:t>
            </w:r>
            <w:r>
              <w:rPr>
                <w:rFonts w:hint="default" w:eastAsia="宋体" w:cs="Times New Roman"/>
                <w:color w:val="000000"/>
                <w:kern w:val="0"/>
                <w:sz w:val="22"/>
                <w:szCs w:val="22"/>
                <w:lang w:val="en-US" w:eastAsia="zh-CN" w:bidi="ar"/>
              </w:rPr>
              <w:t>选用1套</w:t>
            </w:r>
          </w:p>
        </w:tc>
        <w:tc>
          <w:tcPr>
            <w:tcW w:w="491" w:type="pct"/>
            <w:shd w:val="clear" w:color="auto" w:fill="auto"/>
            <w:vAlign w:val="center"/>
          </w:tcPr>
          <w:p w14:paraId="7003F7B5">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162000</w:t>
            </w:r>
          </w:p>
        </w:tc>
        <w:tc>
          <w:tcPr>
            <w:tcW w:w="515" w:type="pct"/>
            <w:vMerge w:val="restart"/>
            <w:shd w:val="clear" w:color="auto" w:fill="auto"/>
            <w:vAlign w:val="center"/>
          </w:tcPr>
          <w:p w14:paraId="4AD8706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允许进口；1个品牌</w:t>
            </w:r>
          </w:p>
        </w:tc>
        <w:tc>
          <w:tcPr>
            <w:tcW w:w="478" w:type="pct"/>
            <w:vMerge w:val="restart"/>
            <w:shd w:val="clear" w:color="auto" w:fill="auto"/>
            <w:vAlign w:val="center"/>
          </w:tcPr>
          <w:p w14:paraId="68EAF68A">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是</w:t>
            </w:r>
          </w:p>
        </w:tc>
      </w:tr>
      <w:tr w14:paraId="6EC8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3" w:type="pct"/>
            <w:vMerge w:val="continue"/>
            <w:shd w:val="clear" w:color="auto" w:fill="auto"/>
            <w:vAlign w:val="center"/>
          </w:tcPr>
          <w:p w14:paraId="3BFB042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374" w:type="pct"/>
            <w:vMerge w:val="continue"/>
            <w:shd w:val="clear" w:color="auto" w:fill="auto"/>
            <w:vAlign w:val="center"/>
          </w:tcPr>
          <w:p w14:paraId="26E71A2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459" w:type="pct"/>
            <w:vMerge w:val="continue"/>
            <w:shd w:val="clear" w:color="auto" w:fill="auto"/>
            <w:vAlign w:val="center"/>
          </w:tcPr>
          <w:p w14:paraId="2E01664C">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991" w:type="pct"/>
            <w:shd w:val="clear" w:color="auto" w:fill="auto"/>
            <w:vAlign w:val="center"/>
          </w:tcPr>
          <w:p w14:paraId="0CDA71E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经导管二尖瓣夹及可操控导引导管-可操控导引导管</w:t>
            </w:r>
          </w:p>
        </w:tc>
        <w:tc>
          <w:tcPr>
            <w:tcW w:w="572" w:type="pct"/>
            <w:shd w:val="clear" w:color="auto" w:fill="auto"/>
            <w:vAlign w:val="center"/>
          </w:tcPr>
          <w:p w14:paraId="5DB3BAB9">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SGC0301</w:t>
            </w:r>
          </w:p>
        </w:tc>
        <w:tc>
          <w:tcPr>
            <w:tcW w:w="245" w:type="pct"/>
            <w:shd w:val="clear" w:color="auto" w:fill="auto"/>
            <w:vAlign w:val="center"/>
          </w:tcPr>
          <w:p w14:paraId="1E0198AD">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506" w:type="pct"/>
            <w:shd w:val="clear" w:color="auto" w:fill="auto"/>
            <w:vAlign w:val="center"/>
          </w:tcPr>
          <w:p w14:paraId="22A59DC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w:t>
            </w:r>
          </w:p>
        </w:tc>
        <w:tc>
          <w:tcPr>
            <w:tcW w:w="491" w:type="pct"/>
            <w:shd w:val="clear" w:color="auto" w:fill="auto"/>
            <w:vAlign w:val="center"/>
          </w:tcPr>
          <w:p w14:paraId="4834E95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10000</w:t>
            </w:r>
          </w:p>
        </w:tc>
        <w:tc>
          <w:tcPr>
            <w:tcW w:w="515" w:type="pct"/>
            <w:vMerge w:val="continue"/>
            <w:shd w:val="clear" w:color="auto" w:fill="auto"/>
            <w:vAlign w:val="center"/>
          </w:tcPr>
          <w:p w14:paraId="619BDD77">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478" w:type="pct"/>
            <w:vMerge w:val="continue"/>
            <w:shd w:val="clear" w:color="auto" w:fill="auto"/>
            <w:vAlign w:val="center"/>
          </w:tcPr>
          <w:p w14:paraId="34A70EF7">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bl>
    <w:p w14:paraId="5736F774">
      <w:pPr>
        <w:pStyle w:val="70"/>
        <w:widowControl w:val="0"/>
        <w:numPr>
          <w:ilvl w:val="0"/>
          <w:numId w:val="0"/>
        </w:numPr>
        <w:jc w:val="both"/>
        <w:rPr>
          <w:rFonts w:hint="eastAsia" w:cs="Tahoma"/>
          <w:b/>
          <w:bCs/>
          <w:sz w:val="30"/>
          <w:szCs w:val="30"/>
        </w:rPr>
      </w:pPr>
    </w:p>
    <w:p w14:paraId="4BB2506F">
      <w:pPr>
        <w:widowControl/>
        <w:wordWrap w:val="0"/>
        <w:spacing w:line="420" w:lineRule="exact"/>
        <w:ind w:right="420" w:firstLine="420" w:firstLineChars="200"/>
        <w:rPr>
          <w:rFonts w:hint="eastAsia"/>
          <w:szCs w:val="21"/>
          <w:highlight w:val="yellow"/>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0B01B9C2">
      <w:pPr>
        <w:widowControl/>
        <w:wordWrap w:val="0"/>
        <w:spacing w:before="100" w:beforeAutospacing="1" w:after="100" w:afterAutospacing="1" w:line="0" w:lineRule="atLeast"/>
        <w:ind w:right="420" w:firstLine="329"/>
        <w:jc w:val="center"/>
        <w:rPr>
          <w:rFonts w:hint="default" w:ascii="Tahoma" w:hAnsi="Tahoma" w:cs="Tahoma"/>
          <w:color w:val="FF0000"/>
          <w:kern w:val="0"/>
          <w:szCs w:val="21"/>
          <w:lang w:val="en-US" w:eastAsia="zh-CN"/>
        </w:r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8月</w:t>
      </w:r>
    </w:p>
    <w:p w14:paraId="339DA11A">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sectPr>
          <w:pgSz w:w="11906" w:h="16838"/>
          <w:pgMar w:top="340" w:right="720" w:bottom="397" w:left="720" w:header="851" w:footer="992" w:gutter="0"/>
          <w:cols w:space="720" w:num="1"/>
          <w:docGrid w:type="lines" w:linePitch="312" w:charSpace="0"/>
        </w:sectPr>
      </w:pP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5176FDCF">
      <w:pPr>
        <w:spacing w:line="520" w:lineRule="exact"/>
        <w:ind w:firstLine="480" w:firstLineChars="200"/>
        <w:rPr>
          <w:rFonts w:ascii="Times New Roman" w:hAnsi="Times New Roman" w:eastAsia="仿宋" w:cs="Times New Roman"/>
          <w:color w:val="FF0000"/>
          <w:kern w:val="0"/>
          <w:sz w:val="30"/>
          <w:szCs w:val="30"/>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心血管内科二病区收治一名68岁男性患者，诊断急性心力衰竭二尖瓣重度关闭不全，目前积极药物治疗后仍反复心功能不全发作，病情危重，科室讨论后拟为患者行经导管二尖瓣钳夹术-缘对缘治疗。</w:t>
      </w:r>
    </w:p>
    <w:p w14:paraId="5A543A0C">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56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741"/>
        <w:gridCol w:w="909"/>
        <w:gridCol w:w="1860"/>
        <w:gridCol w:w="1233"/>
        <w:gridCol w:w="486"/>
        <w:gridCol w:w="1002"/>
        <w:gridCol w:w="972"/>
        <w:gridCol w:w="1240"/>
        <w:gridCol w:w="1303"/>
      </w:tblGrid>
      <w:tr w14:paraId="76A4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343" w:type="pct"/>
            <w:shd w:val="clear" w:color="auto" w:fill="auto"/>
            <w:vAlign w:val="center"/>
          </w:tcPr>
          <w:p w14:paraId="6FB59D9F">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使用科室</w:t>
            </w:r>
          </w:p>
        </w:tc>
        <w:tc>
          <w:tcPr>
            <w:tcW w:w="354" w:type="pct"/>
            <w:shd w:val="clear" w:color="auto" w:fill="auto"/>
            <w:vAlign w:val="center"/>
          </w:tcPr>
          <w:p w14:paraId="792270C2">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项目编号</w:t>
            </w:r>
          </w:p>
        </w:tc>
        <w:tc>
          <w:tcPr>
            <w:tcW w:w="434" w:type="pct"/>
            <w:shd w:val="clear" w:color="auto" w:fill="auto"/>
            <w:vAlign w:val="center"/>
          </w:tcPr>
          <w:p w14:paraId="60CB7B1E">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项目名称</w:t>
            </w:r>
          </w:p>
        </w:tc>
        <w:tc>
          <w:tcPr>
            <w:tcW w:w="888" w:type="pct"/>
            <w:shd w:val="clear" w:color="auto" w:fill="auto"/>
            <w:vAlign w:val="center"/>
          </w:tcPr>
          <w:p w14:paraId="256CD207">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589" w:type="pct"/>
            <w:vAlign w:val="center"/>
          </w:tcPr>
          <w:p w14:paraId="5AC2145C">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型号</w:t>
            </w:r>
          </w:p>
        </w:tc>
        <w:tc>
          <w:tcPr>
            <w:tcW w:w="232" w:type="pct"/>
            <w:vAlign w:val="center"/>
          </w:tcPr>
          <w:p w14:paraId="6293E1A4">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478" w:type="pct"/>
            <w:vAlign w:val="center"/>
          </w:tcPr>
          <w:p w14:paraId="5E4430B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p>
        </w:tc>
        <w:tc>
          <w:tcPr>
            <w:tcW w:w="464" w:type="pct"/>
            <w:vAlign w:val="center"/>
          </w:tcPr>
          <w:p w14:paraId="790D91AD">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预算单价</w:t>
            </w:r>
          </w:p>
          <w:p w14:paraId="189A98B4">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（元）</w:t>
            </w:r>
          </w:p>
        </w:tc>
        <w:tc>
          <w:tcPr>
            <w:tcW w:w="592" w:type="pct"/>
            <w:vAlign w:val="center"/>
          </w:tcPr>
          <w:p w14:paraId="3AB587EC">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622" w:type="pct"/>
            <w:shd w:val="clear" w:color="auto" w:fill="auto"/>
            <w:vAlign w:val="center"/>
          </w:tcPr>
          <w:p w14:paraId="6B4946C2">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3DD6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3" w:type="pct"/>
            <w:vMerge w:val="restart"/>
            <w:shd w:val="clear" w:color="auto" w:fill="auto"/>
            <w:vAlign w:val="center"/>
          </w:tcPr>
          <w:p w14:paraId="797080A8">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心血管内科二病区</w:t>
            </w:r>
          </w:p>
        </w:tc>
        <w:tc>
          <w:tcPr>
            <w:tcW w:w="354" w:type="pct"/>
            <w:vMerge w:val="restart"/>
            <w:shd w:val="clear" w:color="auto" w:fill="auto"/>
            <w:vAlign w:val="center"/>
          </w:tcPr>
          <w:p w14:paraId="3DF6DA3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ZCB2025-HC</w:t>
            </w:r>
            <w:r>
              <w:rPr>
                <w:rFonts w:hint="eastAsia" w:eastAsia="宋体" w:cs="Times New Roman"/>
                <w:color w:val="000000"/>
                <w:kern w:val="0"/>
                <w:sz w:val="22"/>
                <w:szCs w:val="22"/>
                <w:lang w:val="en-US" w:eastAsia="zh-CN" w:bidi="ar"/>
              </w:rPr>
              <w:t>45</w:t>
            </w:r>
            <w:r>
              <w:rPr>
                <w:rFonts w:hint="default" w:eastAsia="宋体" w:cs="Times New Roman"/>
                <w:color w:val="000000"/>
                <w:kern w:val="0"/>
                <w:sz w:val="22"/>
                <w:szCs w:val="22"/>
                <w:lang w:val="en-US" w:eastAsia="zh-CN" w:bidi="ar"/>
              </w:rPr>
              <w:t>-1</w:t>
            </w:r>
            <w:r>
              <w:rPr>
                <w:rFonts w:hint="eastAsia" w:eastAsia="宋体" w:cs="Times New Roman"/>
                <w:color w:val="000000"/>
                <w:kern w:val="0"/>
                <w:sz w:val="22"/>
                <w:szCs w:val="22"/>
                <w:lang w:val="en-US" w:eastAsia="zh-CN" w:bidi="ar"/>
              </w:rPr>
              <w:t>85</w:t>
            </w:r>
          </w:p>
        </w:tc>
        <w:tc>
          <w:tcPr>
            <w:tcW w:w="434" w:type="pct"/>
            <w:vMerge w:val="restart"/>
            <w:shd w:val="clear" w:color="auto" w:fill="auto"/>
            <w:vAlign w:val="center"/>
          </w:tcPr>
          <w:p w14:paraId="63A64AE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经导管二尖瓣夹及可操控导引导管一套</w:t>
            </w:r>
          </w:p>
        </w:tc>
        <w:tc>
          <w:tcPr>
            <w:tcW w:w="888" w:type="pct"/>
            <w:shd w:val="clear" w:color="auto" w:fill="auto"/>
            <w:vAlign w:val="center"/>
          </w:tcPr>
          <w:p w14:paraId="1EA5311F">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经导管二尖瓣夹及可操控导引导管-二尖瓣夹导管输送系统</w:t>
            </w:r>
          </w:p>
        </w:tc>
        <w:tc>
          <w:tcPr>
            <w:tcW w:w="589" w:type="pct"/>
            <w:shd w:val="clear" w:color="auto" w:fill="auto"/>
            <w:vAlign w:val="center"/>
          </w:tcPr>
          <w:p w14:paraId="064A658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CDS0601-NTR/CDS0601-XTR</w:t>
            </w:r>
          </w:p>
        </w:tc>
        <w:tc>
          <w:tcPr>
            <w:tcW w:w="232" w:type="pct"/>
            <w:shd w:val="clear" w:color="auto" w:fill="auto"/>
            <w:vAlign w:val="center"/>
          </w:tcPr>
          <w:p w14:paraId="20971A78">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478" w:type="pct"/>
            <w:shd w:val="clear" w:color="auto" w:fill="auto"/>
            <w:vAlign w:val="center"/>
          </w:tcPr>
          <w:p w14:paraId="5FDF330D">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根据术中</w:t>
            </w:r>
            <w:r>
              <w:rPr>
                <w:rFonts w:hint="eastAsia" w:eastAsia="宋体" w:cs="Times New Roman"/>
                <w:color w:val="000000"/>
                <w:kern w:val="0"/>
                <w:sz w:val="22"/>
                <w:szCs w:val="22"/>
                <w:lang w:val="en-US" w:eastAsia="zh-CN" w:bidi="ar"/>
              </w:rPr>
              <w:t>情况</w:t>
            </w:r>
            <w:r>
              <w:rPr>
                <w:rFonts w:hint="default" w:eastAsia="宋体" w:cs="Times New Roman"/>
                <w:color w:val="000000"/>
                <w:kern w:val="0"/>
                <w:sz w:val="22"/>
                <w:szCs w:val="22"/>
                <w:lang w:val="en-US" w:eastAsia="zh-CN" w:bidi="ar"/>
              </w:rPr>
              <w:t>选用1套</w:t>
            </w:r>
          </w:p>
        </w:tc>
        <w:tc>
          <w:tcPr>
            <w:tcW w:w="464" w:type="pct"/>
            <w:shd w:val="clear" w:color="auto" w:fill="auto"/>
            <w:vAlign w:val="center"/>
          </w:tcPr>
          <w:p w14:paraId="10B6622D">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162000</w:t>
            </w:r>
          </w:p>
        </w:tc>
        <w:tc>
          <w:tcPr>
            <w:tcW w:w="592" w:type="pct"/>
            <w:vMerge w:val="restart"/>
            <w:shd w:val="clear" w:color="auto" w:fill="auto"/>
            <w:vAlign w:val="center"/>
          </w:tcPr>
          <w:p w14:paraId="3FE113C4">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允许进口；1个品牌</w:t>
            </w:r>
          </w:p>
        </w:tc>
        <w:tc>
          <w:tcPr>
            <w:tcW w:w="622" w:type="pct"/>
            <w:vMerge w:val="restart"/>
            <w:shd w:val="clear" w:color="auto" w:fill="auto"/>
            <w:vAlign w:val="center"/>
          </w:tcPr>
          <w:p w14:paraId="38C0219E">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是</w:t>
            </w:r>
          </w:p>
        </w:tc>
      </w:tr>
      <w:tr w14:paraId="4354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3" w:type="pct"/>
            <w:vMerge w:val="continue"/>
            <w:shd w:val="clear" w:color="auto" w:fill="auto"/>
            <w:vAlign w:val="center"/>
          </w:tcPr>
          <w:p w14:paraId="6F76664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354" w:type="pct"/>
            <w:vMerge w:val="continue"/>
            <w:shd w:val="clear" w:color="auto" w:fill="auto"/>
            <w:vAlign w:val="center"/>
          </w:tcPr>
          <w:p w14:paraId="2F1467D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434" w:type="pct"/>
            <w:vMerge w:val="continue"/>
            <w:shd w:val="clear" w:color="auto" w:fill="auto"/>
            <w:vAlign w:val="center"/>
          </w:tcPr>
          <w:p w14:paraId="6F631DC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888" w:type="pct"/>
            <w:shd w:val="clear" w:color="auto" w:fill="auto"/>
            <w:vAlign w:val="center"/>
          </w:tcPr>
          <w:p w14:paraId="36B5900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经导管二尖瓣夹及可操控导引导管-可操控导引导管</w:t>
            </w:r>
          </w:p>
        </w:tc>
        <w:tc>
          <w:tcPr>
            <w:tcW w:w="589" w:type="pct"/>
            <w:shd w:val="clear" w:color="auto" w:fill="auto"/>
            <w:vAlign w:val="center"/>
          </w:tcPr>
          <w:p w14:paraId="3149307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SGC0301</w:t>
            </w:r>
          </w:p>
        </w:tc>
        <w:tc>
          <w:tcPr>
            <w:tcW w:w="232" w:type="pct"/>
            <w:shd w:val="clear" w:color="auto" w:fill="auto"/>
            <w:vAlign w:val="center"/>
          </w:tcPr>
          <w:p w14:paraId="42E67DE2">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478" w:type="pct"/>
            <w:shd w:val="clear" w:color="auto" w:fill="auto"/>
            <w:vAlign w:val="center"/>
          </w:tcPr>
          <w:p w14:paraId="6C5DAE98">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w:t>
            </w:r>
          </w:p>
        </w:tc>
        <w:tc>
          <w:tcPr>
            <w:tcW w:w="464" w:type="pct"/>
            <w:shd w:val="clear" w:color="auto" w:fill="auto"/>
            <w:vAlign w:val="center"/>
          </w:tcPr>
          <w:p w14:paraId="4C1D37D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10000</w:t>
            </w:r>
          </w:p>
        </w:tc>
        <w:tc>
          <w:tcPr>
            <w:tcW w:w="592" w:type="pct"/>
            <w:vMerge w:val="continue"/>
            <w:shd w:val="clear" w:color="auto" w:fill="auto"/>
            <w:vAlign w:val="center"/>
          </w:tcPr>
          <w:p w14:paraId="466AA9E5">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622" w:type="pct"/>
            <w:vMerge w:val="continue"/>
            <w:shd w:val="clear" w:color="auto" w:fill="auto"/>
            <w:vAlign w:val="center"/>
          </w:tcPr>
          <w:p w14:paraId="2C0EB664">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bl>
    <w:p w14:paraId="27501725">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353374FC">
      <w:pPr>
        <w:pStyle w:val="43"/>
        <w:widowControl/>
        <w:adjustRightInd w:val="0"/>
        <w:snapToGrid w:val="0"/>
        <w:spacing w:line="360" w:lineRule="auto"/>
        <w:ind w:left="480" w:firstLine="0" w:firstLineChars="0"/>
        <w:outlineLvl w:val="1"/>
        <w:rPr>
          <w:rFonts w:ascii="Times New Roman" w:hAnsi="Times New Roman" w:eastAsia="宋体" w:cs="Times New Roman"/>
          <w:sz w:val="24"/>
          <w:szCs w:val="24"/>
          <w:highlight w:val="none"/>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4EEB212">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供货期：</w:t>
      </w:r>
      <w:r>
        <w:rPr>
          <w:rFonts w:hint="eastAsia" w:ascii="宋体" w:hAnsi="宋体" w:eastAsia="宋体" w:cs="宋体"/>
          <w:color w:val="000000" w:themeColor="text1"/>
          <w:kern w:val="0"/>
          <w:sz w:val="24"/>
          <w:highlight w:val="none"/>
          <w:lang w:val="en-US" w:eastAsia="zh-CN"/>
          <w14:textFill>
            <w14:solidFill>
              <w14:schemeClr w14:val="tx1"/>
            </w14:solidFill>
          </w14:textFill>
        </w:rPr>
        <w:t>收到采购人通知后送货</w:t>
      </w:r>
      <w:r>
        <w:rPr>
          <w:rFonts w:ascii="Times New Roman" w:hAnsi="Times New Roman" w:eastAsia="宋体" w:cs="Times New Roman"/>
          <w:kern w:val="0"/>
          <w:sz w:val="24"/>
          <w:szCs w:val="22"/>
          <w:highlight w:val="none"/>
        </w:rPr>
        <w:t>。</w:t>
      </w:r>
    </w:p>
    <w:p w14:paraId="16CDB8C0">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hint="eastAsia" w:ascii="宋体" w:hAnsi="宋体" w:eastAsia="宋体" w:cs="宋体"/>
          <w:color w:val="000000" w:themeColor="text1"/>
          <w:kern w:val="0"/>
          <w:sz w:val="24"/>
          <w:highlight w:val="none"/>
          <w14:textFill>
            <w14:solidFill>
              <w14:schemeClr w14:val="tx1"/>
            </w14:solidFill>
          </w14:textFill>
        </w:rPr>
        <w:t>若</w:t>
      </w:r>
      <w:r>
        <w:rPr>
          <w:rFonts w:hint="eastAsia" w:ascii="宋体" w:hAnsi="宋体" w:eastAsia="宋体" w:cs="宋体"/>
          <w:color w:val="000000" w:themeColor="text1"/>
          <w:kern w:val="0"/>
          <w:sz w:val="24"/>
          <w:highlight w:val="none"/>
          <w:lang w:val="en-US" w:eastAsia="zh-CN"/>
          <w14:textFill>
            <w14:solidFill>
              <w14:schemeClr w14:val="tx1"/>
            </w14:solidFill>
          </w14:textFill>
        </w:rPr>
        <w:t>中标产品</w:t>
      </w:r>
      <w:r>
        <w:rPr>
          <w:rFonts w:hint="eastAsia" w:ascii="宋体" w:hAnsi="宋体" w:eastAsia="宋体" w:cs="宋体"/>
          <w:color w:val="000000" w:themeColor="text1"/>
          <w:kern w:val="0"/>
          <w:sz w:val="24"/>
          <w:highlight w:val="none"/>
          <w14:textFill>
            <w14:solidFill>
              <w14:schemeClr w14:val="tx1"/>
            </w14:solidFill>
          </w14:textFill>
        </w:rPr>
        <w:t>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668D668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投标人必须接受：需方的采购谈判方法。</w:t>
      </w:r>
    </w:p>
    <w:p w14:paraId="1AF0C8A5">
      <w:pPr>
        <w:widowControl/>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付款方式：</w:t>
      </w:r>
      <w:r>
        <w:rPr>
          <w:rFonts w:hint="eastAsia" w:ascii="宋体" w:hAnsi="宋体" w:eastAsia="宋体" w:cs="宋体"/>
          <w:color w:val="000000"/>
          <w:kern w:val="0"/>
          <w:sz w:val="24"/>
          <w:highlight w:val="none"/>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ascii="Times New Roman" w:hAnsi="Times New Roman" w:eastAsia="宋体" w:cs="Times New Roman"/>
          <w:kern w:val="0"/>
          <w:sz w:val="24"/>
          <w:szCs w:val="22"/>
          <w:highlight w:val="none"/>
        </w:rPr>
        <w:t xml:space="preserve">。 </w:t>
      </w:r>
    </w:p>
    <w:p w14:paraId="1346B414">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验收方式：由使用单位进行验收，中标供应商提供的医用产品必须符合国家承认的相应标准；</w:t>
      </w:r>
      <w:r>
        <w:rPr>
          <w:rFonts w:ascii="Times New Roman" w:hAnsi="Times New Roman" w:eastAsia="宋体" w:cs="Times New Roman"/>
          <w:b/>
          <w:bCs/>
          <w:kern w:val="0"/>
          <w:sz w:val="24"/>
          <w:szCs w:val="22"/>
          <w:highlight w:val="none"/>
        </w:rPr>
        <w:t>产品合格证每批次1份，产品检测报告每批次1份</w:t>
      </w:r>
      <w:r>
        <w:rPr>
          <w:rFonts w:ascii="Times New Roman" w:hAnsi="Times New Roman" w:eastAsia="宋体" w:cs="Times New Roman"/>
          <w:kern w:val="0"/>
          <w:sz w:val="24"/>
          <w:szCs w:val="22"/>
          <w:highlight w:val="none"/>
        </w:rPr>
        <w:t>。</w:t>
      </w:r>
    </w:p>
    <w:p w14:paraId="7FF57843">
      <w:pPr>
        <w:numPr>
          <w:ilvl w:val="0"/>
          <w:numId w:val="10"/>
        </w:numPr>
        <w:adjustRightInd w:val="0"/>
        <w:snapToGrid w:val="0"/>
        <w:spacing w:line="360" w:lineRule="auto"/>
        <w:rPr>
          <w:rFonts w:ascii="Times New Roman" w:hAnsi="Times New Roman" w:eastAsia="宋体" w:cs="Times New Roman"/>
          <w:b/>
          <w:bCs/>
          <w:kern w:val="0"/>
          <w:sz w:val="24"/>
          <w:szCs w:val="22"/>
          <w:highlight w:val="none"/>
        </w:rPr>
      </w:pPr>
      <w:r>
        <w:rPr>
          <w:rFonts w:ascii="Times New Roman" w:hAnsi="Times New Roman" w:eastAsia="宋体" w:cs="Times New Roman"/>
          <w:b/>
          <w:bCs/>
          <w:kern w:val="0"/>
          <w:sz w:val="24"/>
          <w:szCs w:val="22"/>
          <w:highlight w:val="none"/>
        </w:rPr>
        <w:t>所提供产品的有效期不得少于产品整个有效期的三分之二。</w:t>
      </w:r>
    </w:p>
    <w:p w14:paraId="2739AC1E">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售后服务基本要求</w:t>
      </w:r>
    </w:p>
    <w:p w14:paraId="15028A3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w:t>
      </w:r>
      <w:r>
        <w:rPr>
          <w:rFonts w:hint="eastAsia" w:ascii="Times New Roman" w:hAnsi="Times New Roman" w:eastAsia="宋体" w:cs="Times New Roman"/>
          <w:kern w:val="0"/>
          <w:sz w:val="24"/>
          <w:szCs w:val="22"/>
          <w:highlight w:val="none"/>
          <w:lang w:val="en-US" w:eastAsia="zh-CN"/>
        </w:rPr>
        <w:t>更</w:t>
      </w:r>
      <w:r>
        <w:rPr>
          <w:rFonts w:ascii="Times New Roman" w:hAnsi="Times New Roman" w:eastAsia="宋体" w:cs="Times New Roman"/>
          <w:kern w:val="0"/>
          <w:sz w:val="24"/>
          <w:szCs w:val="22"/>
          <w:highlight w:val="none"/>
        </w:rPr>
        <w:t>换破损和近效期退换服务。</w:t>
      </w:r>
    </w:p>
    <w:p w14:paraId="2DB570A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4CB72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w:t>
      </w:r>
      <w:r>
        <w:rPr>
          <w:rFonts w:hint="eastAsia" w:ascii="Times New Roman" w:hAnsi="Times New Roman" w:eastAsia="宋体" w:cs="Times New Roman"/>
          <w:kern w:val="0"/>
          <w:sz w:val="24"/>
          <w:szCs w:val="22"/>
          <w:highlight w:val="none"/>
          <w:lang w:val="en-US" w:eastAsia="zh-CN"/>
        </w:rPr>
        <w:t>采购人</w:t>
      </w:r>
      <w:r>
        <w:rPr>
          <w:rFonts w:ascii="Times New Roman" w:hAnsi="Times New Roman" w:eastAsia="宋体" w:cs="Times New Roman"/>
          <w:kern w:val="0"/>
          <w:sz w:val="24"/>
          <w:szCs w:val="22"/>
          <w:highlight w:val="none"/>
        </w:rPr>
        <w:t>。</w:t>
      </w:r>
    </w:p>
    <w:p w14:paraId="360FFF1D">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bCs/>
          <w:kern w:val="0"/>
          <w:sz w:val="24"/>
          <w:szCs w:val="22"/>
          <w:highlight w:val="none"/>
        </w:rPr>
        <w:t>中标产品的采购、配送均须通过甲方SPD医用耗材管理系统。</w:t>
      </w:r>
      <w:r>
        <w:rPr>
          <w:rFonts w:ascii="Times New Roman" w:hAnsi="Times New Roman" w:eastAsia="宋体" w:cs="Times New Roman"/>
          <w:kern w:val="0"/>
          <w:sz w:val="24"/>
          <w:szCs w:val="22"/>
          <w:highlight w:val="none"/>
        </w:rPr>
        <w:t>根据中标结果，乙方必须与甲方SPD供应链延伸服务商签订供应链延伸服务协议，并支付交易金额2%的服务费用，否则甲方有权单方解除本协议，并重新组织招投标。</w:t>
      </w:r>
    </w:p>
    <w:p w14:paraId="03AAA414">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kern w:val="0"/>
          <w:sz w:val="24"/>
          <w:szCs w:val="22"/>
          <w:highlight w:val="none"/>
        </w:rPr>
        <w:t>报价要求：</w:t>
      </w:r>
    </w:p>
    <w:p w14:paraId="48458FAF">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投标人所报价格的产品必须为全新的、经检验合格的并在各医院正常运行的产品。</w:t>
      </w:r>
    </w:p>
    <w:p w14:paraId="53D9C29A">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在开标现场提交加盖投标公司公章密封的人民币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6ADE925">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 xml:space="preserve">报价币种为人民币。 </w:t>
      </w:r>
    </w:p>
    <w:p w14:paraId="00C24DB4">
      <w:pPr>
        <w:adjustRightInd w:val="0"/>
        <w:snapToGrid w:val="0"/>
        <w:spacing w:line="360" w:lineRule="auto"/>
        <w:ind w:firstLine="482" w:firstLineChars="200"/>
        <w:rPr>
          <w:rFonts w:ascii="宋体" w:hAnsi="宋体" w:eastAsia="宋体" w:cs="宋体"/>
          <w:b/>
          <w:bCs/>
          <w:color w:val="000000" w:themeColor="text1"/>
          <w:kern w:val="0"/>
          <w:sz w:val="24"/>
          <w14:textFill>
            <w14:solidFill>
              <w14:schemeClr w14:val="tx1"/>
            </w14:solidFill>
          </w14:textFill>
        </w:rPr>
      </w:pPr>
      <w:r>
        <w:rPr>
          <w:rFonts w:ascii="Times New Roman" w:hAnsi="Times New Roman" w:eastAsia="宋体" w:cs="Times New Roman"/>
          <w:b/>
          <w:bCs/>
          <w:kern w:val="0"/>
          <w:sz w:val="24"/>
          <w:szCs w:val="22"/>
          <w:highlight w:val="none"/>
        </w:rPr>
        <w:t>上述条款为采购中的实质性条款，任何投标承诺如果对上述条款不满足、不清晰或有所保留，均被视为非实质性响应。</w:t>
      </w:r>
    </w:p>
    <w:p w14:paraId="4581E75A">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8"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8"/>
    </w:p>
    <w:p w14:paraId="353623B1">
      <w:pPr>
        <w:keepNext/>
        <w:keepLines/>
        <w:widowControl/>
        <w:numPr>
          <w:ilvl w:val="0"/>
          <w:numId w:val="13"/>
        </w:numPr>
        <w:spacing w:before="260" w:after="260"/>
        <w:jc w:val="center"/>
        <w:outlineLvl w:val="1"/>
        <w:rPr>
          <w:rFonts w:eastAsia="宋体"/>
          <w:b/>
          <w:bCs/>
          <w:kern w:val="0"/>
          <w:sz w:val="30"/>
          <w:szCs w:val="30"/>
        </w:rPr>
      </w:pPr>
      <w:bookmarkStart w:id="9" w:name="_Toc15209"/>
      <w:bookmarkStart w:id="10" w:name="_Toc57128621"/>
      <w:bookmarkStart w:id="11" w:name="_Toc32335"/>
      <w:r>
        <w:rPr>
          <w:rFonts w:eastAsia="宋体"/>
          <w:b/>
          <w:bCs/>
          <w:kern w:val="0"/>
          <w:sz w:val="30"/>
          <w:szCs w:val="30"/>
        </w:rPr>
        <w:t>资格性审查表</w:t>
      </w:r>
      <w:bookmarkEnd w:id="9"/>
      <w:bookmarkEnd w:id="10"/>
      <w:bookmarkEnd w:id="11"/>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2" w:name="_Toc6511"/>
      <w:r>
        <w:rPr>
          <w:rFonts w:hint="eastAsia" w:eastAsia="宋体"/>
          <w:b/>
          <w:bCs/>
          <w:kern w:val="0"/>
          <w:sz w:val="30"/>
          <w:szCs w:val="30"/>
        </w:rPr>
        <w:t>符合性审查表</w:t>
      </w:r>
      <w:bookmarkEnd w:id="12"/>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3" w:name="_Toc4023"/>
      <w:r>
        <w:rPr>
          <w:rFonts w:hint="eastAsia" w:ascii="宋体" w:hAnsi="宋体" w:eastAsia="宋体"/>
          <w:b/>
          <w:snapToGrid w:val="0"/>
          <w:kern w:val="0"/>
        </w:rPr>
        <w:t>一、开标</w:t>
      </w:r>
      <w:bookmarkEnd w:id="13"/>
    </w:p>
    <w:p w14:paraId="5DCB3C46">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4" w:name="_Toc6104"/>
      <w:r>
        <w:rPr>
          <w:rFonts w:hint="eastAsia" w:ascii="宋体" w:hAnsi="宋体" w:eastAsia="宋体"/>
          <w:b/>
          <w:snapToGrid w:val="0"/>
          <w:kern w:val="0"/>
        </w:rPr>
        <w:t>二、议价小组组成</w:t>
      </w:r>
      <w:bookmarkEnd w:id="14"/>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5"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5"/>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6"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6"/>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7" w:name="_Hlk135149380"/>
      <w:r>
        <w:rPr>
          <w:rFonts w:hint="eastAsia" w:eastAsia="宋体" w:cs="仿宋"/>
          <w:kern w:val="2"/>
          <w:sz w:val="21"/>
          <w:szCs w:val="21"/>
        </w:rPr>
        <w:t>，并可分别对供应商进行一对一的多次谈判。</w:t>
      </w:r>
      <w:bookmarkEnd w:id="17"/>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18" w:name="_Hlk135149149"/>
      <w:r>
        <w:rPr>
          <w:rFonts w:hint="eastAsia" w:eastAsia="宋体" w:cs="仿宋"/>
          <w:kern w:val="2"/>
          <w:sz w:val="21"/>
          <w:szCs w:val="21"/>
        </w:rPr>
        <w:t>售后服务等因素综合评判</w:t>
      </w:r>
      <w:bookmarkEnd w:id="18"/>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19" w:name="_Toc3487"/>
      <w:r>
        <w:rPr>
          <w:rFonts w:hint="eastAsia" w:ascii="宋体" w:hAnsi="宋体" w:eastAsia="宋体"/>
          <w:b/>
          <w:snapToGrid w:val="0"/>
          <w:kern w:val="0"/>
        </w:rPr>
        <w:t>五、议价评审记录</w:t>
      </w:r>
      <w:bookmarkEnd w:id="19"/>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0" w:name="_Toc9297"/>
      <w:r>
        <w:rPr>
          <w:rFonts w:hint="eastAsia" w:ascii="宋体" w:hAnsi="宋体" w:eastAsia="宋体"/>
          <w:b/>
          <w:snapToGrid w:val="0"/>
          <w:kern w:val="0"/>
        </w:rPr>
        <w:t>六、保密及其它注意事项</w:t>
      </w:r>
      <w:bookmarkEnd w:id="20"/>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1" w:name="_Toc9217"/>
      <w:bookmarkStart w:id="22" w:name="_Hlk72439043"/>
      <w:r>
        <w:rPr>
          <w:rFonts w:hint="eastAsia" w:ascii="方正小标宋简体" w:hAnsi="方正小标宋简体" w:eastAsia="方正小标宋简体" w:cs="方正小标宋简体"/>
          <w:kern w:val="0"/>
          <w:sz w:val="44"/>
          <w:szCs w:val="36"/>
        </w:rPr>
        <w:t xml:space="preserve">第四章 </w:t>
      </w:r>
      <w:bookmarkStart w:id="23" w:name="_Hlk135152312"/>
      <w:r>
        <w:rPr>
          <w:rFonts w:hint="eastAsia" w:ascii="方正小标宋简体" w:hAnsi="方正小标宋简体" w:eastAsia="方正小标宋简体" w:cs="方正小标宋简体"/>
          <w:kern w:val="0"/>
          <w:sz w:val="44"/>
          <w:szCs w:val="36"/>
        </w:rPr>
        <w:t>投标须知</w:t>
      </w:r>
      <w:bookmarkEnd w:id="21"/>
      <w:bookmarkEnd w:id="23"/>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4" w:name="_Toc7694"/>
      <w:r>
        <w:rPr>
          <w:rFonts w:hint="eastAsia" w:asciiTheme="minorEastAsia" w:hAnsiTheme="minorEastAsia" w:cstheme="minorEastAsia"/>
          <w:b/>
          <w:bCs/>
          <w:snapToGrid w:val="0"/>
          <w:szCs w:val="24"/>
        </w:rPr>
        <w:t>一、报名及报名的撤销</w:t>
      </w:r>
      <w:bookmarkEnd w:id="24"/>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5" w:name="_Toc14143"/>
      <w:r>
        <w:rPr>
          <w:rFonts w:hint="eastAsia" w:asciiTheme="minorEastAsia" w:hAnsiTheme="minorEastAsia" w:cstheme="minorEastAsia"/>
          <w:b/>
          <w:bCs/>
        </w:rPr>
        <w:t>二、响应文件的编写</w:t>
      </w:r>
      <w:bookmarkEnd w:id="25"/>
    </w:p>
    <w:p w14:paraId="3093B355">
      <w:pPr>
        <w:adjustRightInd w:val="0"/>
        <w:spacing w:line="360" w:lineRule="auto"/>
        <w:outlineLvl w:val="2"/>
        <w:rPr>
          <w:rFonts w:asciiTheme="minorEastAsia" w:hAnsiTheme="minorEastAsia" w:cstheme="minorEastAsia"/>
          <w:b/>
          <w:snapToGrid w:val="0"/>
          <w:kern w:val="0"/>
        </w:rPr>
      </w:pPr>
      <w:bookmarkStart w:id="26" w:name="_Toc15759"/>
      <w:r>
        <w:rPr>
          <w:rFonts w:hint="eastAsia" w:asciiTheme="minorEastAsia" w:hAnsiTheme="minorEastAsia" w:cstheme="minorEastAsia"/>
          <w:b/>
          <w:snapToGrid w:val="0"/>
          <w:kern w:val="0"/>
        </w:rPr>
        <w:t>1、 响应语言及计量单位</w:t>
      </w:r>
      <w:bookmarkEnd w:id="26"/>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7" w:name="_Toc15652"/>
      <w:r>
        <w:rPr>
          <w:rFonts w:hint="eastAsia" w:asciiTheme="minorEastAsia" w:hAnsiTheme="minorEastAsia" w:cstheme="minorEastAsia"/>
          <w:b/>
          <w:snapToGrid w:val="0"/>
          <w:kern w:val="0"/>
        </w:rPr>
        <w:t>2、 响应文件的组成</w:t>
      </w:r>
      <w:bookmarkEnd w:id="27"/>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28" w:name="_Toc11850"/>
      <w:r>
        <w:rPr>
          <w:rFonts w:hint="eastAsia" w:asciiTheme="minorEastAsia" w:hAnsiTheme="minorEastAsia" w:cstheme="minorEastAsia"/>
          <w:b/>
          <w:snapToGrid w:val="0"/>
          <w:kern w:val="0"/>
        </w:rPr>
        <w:t>3、 响应文件格式</w:t>
      </w:r>
      <w:bookmarkEnd w:id="28"/>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29" w:name="_Toc21716"/>
      <w:r>
        <w:rPr>
          <w:rFonts w:hint="eastAsia" w:asciiTheme="minorEastAsia" w:hAnsiTheme="minorEastAsia" w:cstheme="minorEastAsia"/>
          <w:b/>
          <w:snapToGrid w:val="0"/>
          <w:kern w:val="0"/>
        </w:rPr>
        <w:t>4、 响应报价</w:t>
      </w:r>
      <w:bookmarkEnd w:id="29"/>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0" w:name="q7"/>
      <w:bookmarkEnd w:id="30"/>
      <w:bookmarkStart w:id="31" w:name="_Toc22066"/>
      <w:bookmarkStart w:id="32" w:name="_Toc2301"/>
      <w:r>
        <w:rPr>
          <w:rFonts w:hint="eastAsia" w:asciiTheme="minorEastAsia" w:hAnsiTheme="minorEastAsia" w:cstheme="minorEastAsia"/>
          <w:b/>
          <w:bCs/>
          <w:snapToGrid w:val="0"/>
          <w:szCs w:val="24"/>
        </w:rPr>
        <w:t>三、响应文件的递交</w:t>
      </w:r>
      <w:bookmarkEnd w:id="31"/>
      <w:bookmarkEnd w:id="32"/>
    </w:p>
    <w:p w14:paraId="1E6D1403">
      <w:pPr>
        <w:adjustRightInd w:val="0"/>
        <w:spacing w:line="360" w:lineRule="auto"/>
        <w:outlineLvl w:val="2"/>
        <w:rPr>
          <w:rFonts w:asciiTheme="minorEastAsia" w:hAnsiTheme="minorEastAsia" w:cstheme="minorEastAsia"/>
          <w:b/>
          <w:snapToGrid w:val="0"/>
          <w:kern w:val="0"/>
        </w:rPr>
      </w:pPr>
      <w:bookmarkStart w:id="33" w:name="_Toc2645"/>
      <w:r>
        <w:rPr>
          <w:rFonts w:hint="eastAsia" w:asciiTheme="minorEastAsia" w:hAnsiTheme="minorEastAsia" w:cstheme="minorEastAsia"/>
          <w:b/>
          <w:snapToGrid w:val="0"/>
          <w:kern w:val="0"/>
        </w:rPr>
        <w:t>1、响应文件的密封和标记</w:t>
      </w:r>
      <w:bookmarkEnd w:id="33"/>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4" w:name="_Toc16297"/>
      <w:r>
        <w:rPr>
          <w:rFonts w:hint="eastAsia" w:asciiTheme="minorEastAsia" w:hAnsiTheme="minorEastAsia" w:cstheme="minorEastAsia"/>
          <w:b/>
          <w:snapToGrid w:val="0"/>
          <w:kern w:val="0"/>
        </w:rPr>
        <w:t>2、递交响应文件的时间、地点以及截止时间</w:t>
      </w:r>
      <w:bookmarkEnd w:id="34"/>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5"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5"/>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6" w:name="_Toc1072"/>
      <w:r>
        <w:rPr>
          <w:rFonts w:hint="eastAsia" w:asciiTheme="minorEastAsia" w:hAnsiTheme="minorEastAsia" w:cstheme="minorEastAsia"/>
          <w:b/>
          <w:bCs/>
          <w:kern w:val="2"/>
          <w:szCs w:val="24"/>
        </w:rPr>
        <w:t>五、视为响应供应商串通，其投标无效的情况</w:t>
      </w:r>
      <w:bookmarkEnd w:id="36"/>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2"/>
    <w:p w14:paraId="14AE8EBE">
      <w:pPr>
        <w:numPr>
          <w:ilvl w:val="0"/>
          <w:numId w:val="15"/>
        </w:numPr>
        <w:jc w:val="center"/>
        <w:outlineLvl w:val="0"/>
        <w:rPr>
          <w:rFonts w:ascii="方正小标宋简体" w:hAnsi="方正小标宋简体" w:eastAsia="方正小标宋简体" w:cs="方正小标宋简体"/>
          <w:kern w:val="0"/>
          <w:sz w:val="44"/>
          <w:szCs w:val="36"/>
        </w:rPr>
      </w:pPr>
      <w:bookmarkStart w:id="37" w:name="_Toc3265"/>
      <w:r>
        <w:rPr>
          <w:rFonts w:hint="eastAsia" w:ascii="方正小标宋简体" w:hAnsi="方正小标宋简体" w:eastAsia="方正小标宋简体" w:cs="方正小标宋简体"/>
          <w:kern w:val="0"/>
          <w:sz w:val="44"/>
          <w:szCs w:val="36"/>
        </w:rPr>
        <w:t>合同文本</w:t>
      </w:r>
      <w:bookmarkEnd w:id="37"/>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38" w:name="_Toc73518157"/>
      <w:bookmarkStart w:id="39" w:name="_Toc73521586"/>
      <w:bookmarkStart w:id="40" w:name="_Toc100052408"/>
      <w:bookmarkStart w:id="41" w:name="_Toc73521674"/>
      <w:bookmarkStart w:id="42" w:name="_Toc17773"/>
      <w:bookmarkStart w:id="43" w:name="_Toc73517679"/>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38"/>
      <w:bookmarkEnd w:id="39"/>
      <w:bookmarkEnd w:id="40"/>
      <w:bookmarkEnd w:id="41"/>
      <w:bookmarkEnd w:id="42"/>
      <w:bookmarkEnd w:id="43"/>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4" w:name="_Toc73521587"/>
      <w:bookmarkStart w:id="45" w:name="_Toc73517680"/>
      <w:bookmarkStart w:id="46" w:name="_Toc73521675"/>
      <w:bookmarkStart w:id="47" w:name="_Toc73518158"/>
      <w:bookmarkStart w:id="48" w:name="_Toc100052409"/>
      <w:bookmarkStart w:id="49" w:name="_Toc11263"/>
      <w:r>
        <w:rPr>
          <w:rFonts w:hint="eastAsia" w:asciiTheme="minorEastAsia" w:hAnsiTheme="minorEastAsia" w:cstheme="minorEastAsia"/>
        </w:rPr>
        <w:t>2．</w:t>
      </w:r>
      <w:bookmarkEnd w:id="44"/>
      <w:bookmarkEnd w:id="45"/>
      <w:bookmarkEnd w:id="46"/>
      <w:bookmarkEnd w:id="47"/>
      <w:bookmarkEnd w:id="48"/>
      <w:r>
        <w:rPr>
          <w:rFonts w:hint="eastAsia" w:asciiTheme="minorEastAsia" w:hAnsiTheme="minorEastAsia" w:cstheme="minorEastAsia"/>
        </w:rPr>
        <w:t>接受和拒绝任何或所有投标的权力</w:t>
      </w:r>
      <w:bookmarkEnd w:id="49"/>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0" w:name="_Toc73517682"/>
      <w:bookmarkStart w:id="51" w:name="_Toc73518160"/>
      <w:bookmarkStart w:id="52" w:name="_Toc28536"/>
      <w:bookmarkStart w:id="53" w:name="_Toc73521589"/>
      <w:bookmarkStart w:id="54" w:name="_Toc73521677"/>
      <w:bookmarkStart w:id="55" w:name="_Toc100052410"/>
      <w:r>
        <w:rPr>
          <w:rFonts w:hint="eastAsia" w:asciiTheme="minorEastAsia" w:hAnsiTheme="minorEastAsia" w:cstheme="minorEastAsia"/>
        </w:rPr>
        <w:t>3．合同的签订</w:t>
      </w:r>
      <w:bookmarkEnd w:id="50"/>
      <w:bookmarkEnd w:id="51"/>
      <w:bookmarkEnd w:id="52"/>
      <w:bookmarkEnd w:id="53"/>
      <w:bookmarkEnd w:id="54"/>
      <w:bookmarkEnd w:id="55"/>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6"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6"/>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7"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7"/>
    </w:p>
    <w:p w14:paraId="03C12BF5">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58"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58"/>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59" w:name="_Toc8491"/>
      <w:r>
        <w:rPr>
          <w:rFonts w:hint="eastAsia" w:ascii="宋体" w:hAnsi="宋体" w:eastAsia="宋体" w:cs="宋体"/>
          <w:b/>
          <w:bCs/>
          <w:sz w:val="24"/>
        </w:rPr>
        <w:t>（一）</w:t>
      </w:r>
      <w:bookmarkEnd w:id="59"/>
      <w:bookmarkStart w:id="60" w:name="_Toc24118"/>
      <w:r>
        <w:rPr>
          <w:rFonts w:hint="eastAsia" w:ascii="宋体" w:hAnsi="宋体" w:eastAsia="宋体" w:cs="宋体"/>
          <w:b/>
          <w:bCs/>
          <w:color w:val="000000" w:themeColor="text1"/>
          <w:sz w:val="24"/>
          <w14:textFill>
            <w14:solidFill>
              <w14:schemeClr w14:val="tx1"/>
            </w14:solidFill>
          </w14:textFill>
        </w:rPr>
        <w:t>符合性自查表</w:t>
      </w:r>
      <w:bookmarkEnd w:id="60"/>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1" w:name="_Toc2542"/>
      <w:r>
        <w:rPr>
          <w:rFonts w:eastAsia="宋体"/>
          <w:b/>
          <w:sz w:val="24"/>
        </w:rPr>
        <w:t>（此处加盖投标人单位公章）</w:t>
      </w:r>
      <w:bookmarkEnd w:id="61"/>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2"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2"/>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3" w:name="_Toc13212"/>
      <w:r>
        <w:rPr>
          <w:rFonts w:hint="eastAsia" w:ascii="方正小标宋简体" w:hAnsi="方正小标宋简体" w:eastAsia="方正小标宋简体" w:cs="方正小标宋简体"/>
          <w:bCs/>
          <w:color w:val="000000"/>
          <w:sz w:val="28"/>
          <w:szCs w:val="28"/>
        </w:rPr>
        <w:t>（一）投标承诺函</w:t>
      </w:r>
      <w:bookmarkEnd w:id="63"/>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4" w:name="_Toc12871"/>
      <w:bookmarkStart w:id="65" w:name="_Toc57128634"/>
      <w:r>
        <w:rPr>
          <w:rFonts w:hint="eastAsia" w:ascii="方正小标宋简体" w:hAnsi="方正小标宋简体" w:eastAsia="方正小标宋简体" w:cs="方正小标宋简体"/>
          <w:bCs/>
          <w:color w:val="000000"/>
          <w:sz w:val="28"/>
          <w:szCs w:val="28"/>
        </w:rPr>
        <w:t>（二）签约承诺函</w:t>
      </w:r>
      <w:bookmarkEnd w:id="64"/>
      <w:bookmarkEnd w:id="65"/>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6"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6"/>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7" w:name="_Toc12502"/>
      <w:r>
        <w:rPr>
          <w:rFonts w:eastAsia="宋体"/>
          <w:b/>
          <w:sz w:val="24"/>
        </w:rPr>
        <w:t>（此处加盖投标人单位公章）</w:t>
      </w:r>
      <w:bookmarkEnd w:id="67"/>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68" w:name="_Toc15833"/>
      <w:r>
        <w:rPr>
          <w:rFonts w:hint="eastAsia" w:ascii="方正小标宋简体" w:hAnsi="方正小标宋简体" w:eastAsia="方正小标宋简体" w:cs="方正小标宋简体"/>
          <w:bCs/>
          <w:color w:val="000000"/>
          <w:sz w:val="28"/>
          <w:szCs w:val="28"/>
        </w:rPr>
        <w:t>（四）售后服务承诺</w:t>
      </w:r>
      <w:bookmarkEnd w:id="68"/>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69" w:name="_Toc12206"/>
      <w:r>
        <w:rPr>
          <w:rFonts w:hint="eastAsia" w:ascii="方正小标宋简体" w:hAnsi="方正小标宋简体" w:eastAsia="方正小标宋简体" w:cs="方正小标宋简体"/>
          <w:bCs/>
          <w:color w:val="000000"/>
          <w:sz w:val="28"/>
          <w:szCs w:val="28"/>
        </w:rPr>
        <w:t>（五）杜绝商业贿赂承诺书</w:t>
      </w:r>
      <w:bookmarkEnd w:id="69"/>
    </w:p>
    <w:p w14:paraId="76E4E3CA">
      <w:pPr>
        <w:pStyle w:val="3"/>
        <w:numPr>
          <w:ilvl w:val="255"/>
          <w:numId w:val="0"/>
        </w:numPr>
        <w:jc w:val="left"/>
        <w:rPr>
          <w:rFonts w:ascii="宋体" w:hAnsi="宋体" w:eastAsia="宋体" w:cs="宋体"/>
          <w:sz w:val="24"/>
        </w:rPr>
      </w:pPr>
      <w:bookmarkStart w:id="70" w:name="_Toc3269"/>
      <w:r>
        <w:rPr>
          <w:rFonts w:hint="eastAsia" w:ascii="宋体" w:hAnsi="宋体" w:eastAsia="宋体" w:cs="宋体"/>
          <w:sz w:val="24"/>
        </w:rPr>
        <w:t>致：中山大学附属第八医院（深圳福田）</w:t>
      </w:r>
      <w:bookmarkEnd w:id="70"/>
    </w:p>
    <w:p w14:paraId="4BD54E48">
      <w:pPr>
        <w:pStyle w:val="3"/>
        <w:numPr>
          <w:ilvl w:val="255"/>
          <w:numId w:val="0"/>
        </w:numPr>
        <w:ind w:firstLine="480" w:firstLineChars="200"/>
        <w:jc w:val="left"/>
        <w:rPr>
          <w:rFonts w:ascii="宋体" w:hAnsi="宋体" w:eastAsia="宋体" w:cs="宋体"/>
          <w:sz w:val="24"/>
        </w:rPr>
      </w:pPr>
      <w:bookmarkStart w:id="71"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1"/>
    </w:p>
    <w:p w14:paraId="181FF952">
      <w:pPr>
        <w:pStyle w:val="3"/>
        <w:numPr>
          <w:ilvl w:val="255"/>
          <w:numId w:val="0"/>
        </w:numPr>
        <w:ind w:firstLine="480" w:firstLineChars="200"/>
        <w:jc w:val="left"/>
        <w:rPr>
          <w:rFonts w:ascii="宋体" w:hAnsi="宋体" w:eastAsia="宋体" w:cs="宋体"/>
          <w:sz w:val="24"/>
        </w:rPr>
      </w:pPr>
      <w:bookmarkStart w:id="72"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2"/>
    </w:p>
    <w:p w14:paraId="20A6A467">
      <w:pPr>
        <w:pStyle w:val="3"/>
        <w:numPr>
          <w:ilvl w:val="255"/>
          <w:numId w:val="0"/>
        </w:numPr>
        <w:jc w:val="left"/>
        <w:rPr>
          <w:rFonts w:ascii="宋体" w:hAnsi="宋体" w:eastAsia="宋体" w:cs="宋体"/>
          <w:sz w:val="24"/>
        </w:rPr>
      </w:pPr>
      <w:bookmarkStart w:id="73" w:name="_Toc8968"/>
      <w:r>
        <w:rPr>
          <w:rFonts w:hint="eastAsia" w:ascii="宋体" w:hAnsi="宋体" w:eastAsia="宋体" w:cs="宋体"/>
          <w:sz w:val="24"/>
        </w:rPr>
        <w:t>（1）提供回扣或其他商业贿赂行为；</w:t>
      </w:r>
      <w:bookmarkEnd w:id="73"/>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4" w:name="_Toc14480"/>
      <w:r>
        <w:rPr>
          <w:rFonts w:hint="eastAsia" w:ascii="宋体" w:hAnsi="宋体" w:eastAsia="宋体" w:cs="宋体"/>
          <w:sz w:val="24"/>
        </w:rPr>
        <w:t>（2）以向贵院或者相关专家行贿的手段牟取成交；</w:t>
      </w:r>
      <w:bookmarkEnd w:id="74"/>
    </w:p>
    <w:p w14:paraId="14255E7E">
      <w:pPr>
        <w:pStyle w:val="3"/>
        <w:numPr>
          <w:ilvl w:val="255"/>
          <w:numId w:val="0"/>
        </w:numPr>
        <w:jc w:val="left"/>
        <w:rPr>
          <w:rFonts w:ascii="宋体" w:hAnsi="宋体" w:eastAsia="宋体" w:cs="宋体"/>
          <w:sz w:val="24"/>
        </w:rPr>
      </w:pPr>
      <w:bookmarkStart w:id="75" w:name="_Toc2940"/>
      <w:r>
        <w:rPr>
          <w:rFonts w:hint="eastAsia" w:ascii="宋体" w:hAnsi="宋体" w:eastAsia="宋体" w:cs="宋体"/>
          <w:sz w:val="24"/>
        </w:rPr>
        <w:t>（3）其他违反法律法规的行为。</w:t>
      </w:r>
      <w:bookmarkEnd w:id="75"/>
    </w:p>
    <w:p w14:paraId="3F191170">
      <w:pPr>
        <w:pStyle w:val="3"/>
        <w:numPr>
          <w:ilvl w:val="255"/>
          <w:numId w:val="0"/>
        </w:numPr>
        <w:ind w:firstLine="480" w:firstLineChars="200"/>
        <w:jc w:val="left"/>
        <w:rPr>
          <w:rFonts w:ascii="宋体" w:hAnsi="宋体" w:eastAsia="宋体" w:cs="宋体"/>
          <w:sz w:val="24"/>
        </w:rPr>
      </w:pPr>
      <w:bookmarkStart w:id="76"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6"/>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7" w:name="_Toc29756"/>
      <w:r>
        <w:rPr>
          <w:rFonts w:hint="eastAsia" w:ascii="宋体" w:hAnsi="宋体" w:eastAsia="宋体" w:cs="宋体"/>
          <w:sz w:val="24"/>
        </w:rPr>
        <w:t>投标人单位名称：</w:t>
      </w:r>
      <w:bookmarkEnd w:id="77"/>
    </w:p>
    <w:p w14:paraId="15BE900C">
      <w:pPr>
        <w:pStyle w:val="3"/>
        <w:numPr>
          <w:ilvl w:val="255"/>
          <w:numId w:val="0"/>
        </w:numPr>
        <w:jc w:val="left"/>
        <w:rPr>
          <w:rFonts w:ascii="宋体" w:hAnsi="宋体" w:eastAsia="宋体" w:cs="宋体"/>
          <w:sz w:val="24"/>
        </w:rPr>
      </w:pPr>
      <w:bookmarkStart w:id="78" w:name="_Toc3018"/>
      <w:r>
        <w:rPr>
          <w:rFonts w:hint="eastAsia" w:ascii="宋体" w:hAnsi="宋体" w:eastAsia="宋体" w:cs="宋体"/>
          <w:sz w:val="24"/>
        </w:rPr>
        <w:t>签发日期：年月日</w:t>
      </w:r>
      <w:bookmarkEnd w:id="78"/>
    </w:p>
    <w:p w14:paraId="5A8B2C31">
      <w:pPr>
        <w:pStyle w:val="3"/>
        <w:numPr>
          <w:ilvl w:val="255"/>
          <w:numId w:val="0"/>
        </w:numPr>
        <w:jc w:val="left"/>
        <w:rPr>
          <w:rFonts w:ascii="宋体" w:hAnsi="宋体" w:eastAsia="宋体" w:cs="宋体"/>
          <w:sz w:val="24"/>
        </w:rPr>
      </w:pPr>
      <w:bookmarkStart w:id="79" w:name="_Toc27530"/>
      <w:r>
        <w:rPr>
          <w:rFonts w:hint="eastAsia" w:ascii="宋体" w:hAnsi="宋体" w:eastAsia="宋体" w:cs="宋体"/>
          <w:sz w:val="24"/>
        </w:rPr>
        <w:t>（此处加盖投标人单位公章）</w:t>
      </w:r>
      <w:bookmarkEnd w:id="79"/>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0" w:name="_Toc7614"/>
      <w:r>
        <w:rPr>
          <w:rFonts w:hint="eastAsia" w:ascii="宋体" w:hAnsi="宋体" w:eastAsia="宋体" w:cs="宋体"/>
          <w:sz w:val="24"/>
        </w:rPr>
        <w:t>注：1、本承诺书应为原件。</w:t>
      </w:r>
      <w:bookmarkEnd w:id="80"/>
      <w:r>
        <w:rPr>
          <w:rFonts w:hint="eastAsia" w:ascii="宋体" w:hAnsi="宋体" w:eastAsia="宋体" w:cs="宋体"/>
          <w:sz w:val="24"/>
        </w:rPr>
        <w:t xml:space="preserve"> </w:t>
      </w:r>
    </w:p>
    <w:p w14:paraId="6ABB93D3">
      <w:pPr>
        <w:pStyle w:val="3"/>
        <w:numPr>
          <w:ilvl w:val="0"/>
          <w:numId w:val="23"/>
        </w:numPr>
        <w:jc w:val="left"/>
        <w:rPr>
          <w:rFonts w:ascii="宋体" w:hAnsi="宋体" w:eastAsia="宋体" w:cs="宋体"/>
          <w:sz w:val="24"/>
        </w:rPr>
      </w:pPr>
      <w:bookmarkStart w:id="81" w:name="_Toc1207"/>
      <w:r>
        <w:rPr>
          <w:rFonts w:hint="eastAsia" w:ascii="宋体" w:hAnsi="宋体" w:eastAsia="宋体" w:cs="宋体"/>
          <w:sz w:val="24"/>
        </w:rPr>
        <w:t>本承诺书内容不得擅自修改，并加盖投标公司公章。</w:t>
      </w:r>
      <w:bookmarkEnd w:id="81"/>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2"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2"/>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3" w:name="_Toc14534"/>
      <w:r>
        <w:rPr>
          <w:rFonts w:hint="eastAsia" w:eastAsia="宋体" w:cstheme="majorBidi"/>
          <w:b/>
          <w:bCs/>
          <w:sz w:val="28"/>
          <w:szCs w:val="28"/>
        </w:rPr>
        <w:t>（七）</w:t>
      </w:r>
      <w:bookmarkEnd w:id="83"/>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4"/>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4"/>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4" w:name="_Toc1676"/>
      <w:r>
        <w:rPr>
          <w:rFonts w:hint="eastAsia" w:eastAsia="宋体" w:cstheme="majorBidi"/>
          <w:b/>
          <w:bCs/>
          <w:sz w:val="28"/>
          <w:szCs w:val="28"/>
        </w:rPr>
        <w:t>（八）</w:t>
      </w:r>
      <w:r>
        <w:rPr>
          <w:rFonts w:eastAsia="宋体"/>
          <w:b/>
          <w:bCs/>
          <w:kern w:val="0"/>
          <w:sz w:val="30"/>
          <w:szCs w:val="30"/>
        </w:rPr>
        <w:t>法定代表人授权委托书</w:t>
      </w:r>
      <w:bookmarkEnd w:id="84"/>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5" w:name="_Toc3342"/>
      <w:r>
        <w:rPr>
          <w:rFonts w:hint="eastAsia" w:ascii="方正小标宋简体" w:hAnsi="方正小标宋简体" w:eastAsia="方正小标宋简体" w:cs="方正小标宋简体"/>
          <w:bCs/>
          <w:color w:val="000000"/>
          <w:sz w:val="28"/>
          <w:szCs w:val="28"/>
        </w:rPr>
        <w:t>（九）法定代表人证明书</w:t>
      </w:r>
      <w:bookmarkEnd w:id="85"/>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6" w:name="_Toc17209"/>
      <w:r>
        <w:rPr>
          <w:rFonts w:eastAsia="宋体"/>
          <w:b/>
          <w:sz w:val="24"/>
        </w:rPr>
        <w:t>（此处加盖投标人单位公章）</w:t>
      </w:r>
      <w:bookmarkEnd w:id="86"/>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855" w:firstLineChars="1200"/>
        <w:outlineLvl w:val="1"/>
        <w:rPr>
          <w:b/>
          <w:sz w:val="32"/>
          <w:szCs w:val="32"/>
        </w:rPr>
      </w:pPr>
      <w:bookmarkStart w:id="87" w:name="_Toc14355"/>
      <w:r>
        <w:rPr>
          <w:rFonts w:hint="eastAsia"/>
          <w:b/>
          <w:sz w:val="32"/>
          <w:szCs w:val="32"/>
        </w:rPr>
        <w:t>五、</w:t>
      </w:r>
      <w:r>
        <w:rPr>
          <w:rFonts w:hint="eastAsia" w:eastAsia="宋体"/>
          <w:b/>
          <w:bCs/>
          <w:kern w:val="0"/>
          <w:sz w:val="30"/>
          <w:szCs w:val="30"/>
        </w:rPr>
        <w:t>商务部分</w:t>
      </w:r>
      <w:bookmarkEnd w:id="87"/>
    </w:p>
    <w:p w14:paraId="09161483">
      <w:pPr>
        <w:tabs>
          <w:tab w:val="left" w:pos="180"/>
        </w:tabs>
        <w:ind w:left="-240"/>
        <w:outlineLvl w:val="2"/>
        <w:rPr>
          <w:rFonts w:ascii="宋体" w:hAnsi="宋体" w:eastAsia="宋体" w:cs="宋体"/>
          <w:b/>
          <w:sz w:val="24"/>
        </w:rPr>
      </w:pPr>
      <w:bookmarkStart w:id="88" w:name="_Toc30250"/>
      <w:r>
        <w:rPr>
          <w:rFonts w:hint="eastAsia" w:ascii="宋体" w:hAnsi="宋体" w:eastAsia="宋体" w:cs="宋体"/>
          <w:b/>
          <w:sz w:val="24"/>
        </w:rPr>
        <w:t>（一）投标人情况介绍表</w:t>
      </w:r>
      <w:bookmarkEnd w:id="88"/>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89" w:name="_Toc32229"/>
      <w:r>
        <w:rPr>
          <w:rFonts w:eastAsia="宋体"/>
          <w:b/>
          <w:sz w:val="24"/>
        </w:rPr>
        <w:t>（此处加盖投标人单位公章）</w:t>
      </w:r>
      <w:bookmarkEnd w:id="89"/>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0" w:name="_Toc6371"/>
      <w:r>
        <w:rPr>
          <w:rFonts w:hint="eastAsia" w:ascii="宋体" w:hAnsi="宋体" w:eastAsia="宋体" w:cs="宋体"/>
          <w:b/>
          <w:sz w:val="24"/>
        </w:rPr>
        <w:t>（二）有效业绩</w:t>
      </w:r>
      <w:bookmarkEnd w:id="90"/>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1" w:name="_Toc2252"/>
      <w:r>
        <w:rPr>
          <w:rFonts w:eastAsia="宋体"/>
          <w:b/>
          <w:sz w:val="24"/>
        </w:rPr>
        <w:t>（此处加盖投标人单位公章）</w:t>
      </w:r>
      <w:bookmarkEnd w:id="91"/>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25"/>
        <w:gridCol w:w="1074"/>
      </w:tblGrid>
      <w:tr w14:paraId="1F67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20" w:type="dxa"/>
            <w:vAlign w:val="center"/>
          </w:tcPr>
          <w:p w14:paraId="2B0C982D">
            <w:pPr>
              <w:jc w:val="center"/>
              <w:rPr>
                <w:rFonts w:ascii="宋体" w:hAnsi="宋体" w:eastAsia="宋体" w:cs="宋体"/>
              </w:rPr>
            </w:pPr>
            <w:r>
              <w:rPr>
                <w:rFonts w:ascii="宋体" w:hAnsi="宋体" w:eastAsia="宋体" w:cs="宋体"/>
              </w:rPr>
              <w:t>序号</w:t>
            </w:r>
          </w:p>
        </w:tc>
        <w:tc>
          <w:tcPr>
            <w:tcW w:w="7325" w:type="dxa"/>
            <w:vAlign w:val="center"/>
          </w:tcPr>
          <w:p w14:paraId="70987149">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059829D3">
            <w:pPr>
              <w:jc w:val="center"/>
              <w:rPr>
                <w:rFonts w:ascii="宋体" w:hAnsi="宋体" w:eastAsia="宋体" w:cs="宋体"/>
              </w:rPr>
            </w:pPr>
            <w:r>
              <w:rPr>
                <w:rFonts w:hint="eastAsia" w:ascii="宋体" w:hAnsi="宋体" w:eastAsia="宋体" w:cs="宋体"/>
                <w:b/>
                <w:bCs/>
              </w:rPr>
              <w:t>响应情况</w:t>
            </w:r>
          </w:p>
        </w:tc>
      </w:tr>
      <w:tr w14:paraId="3C80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0" w:type="dxa"/>
            <w:vAlign w:val="center"/>
          </w:tcPr>
          <w:p w14:paraId="5CA574DD">
            <w:pPr>
              <w:spacing w:line="360"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325" w:type="dxa"/>
            <w:vAlign w:val="center"/>
          </w:tcPr>
          <w:p w14:paraId="0FC64F24">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供货期:收到采购人通知后送货。</w:t>
            </w:r>
          </w:p>
        </w:tc>
        <w:tc>
          <w:tcPr>
            <w:tcW w:w="1074" w:type="dxa"/>
            <w:vAlign w:val="center"/>
          </w:tcPr>
          <w:p w14:paraId="539DB1EE">
            <w:pPr>
              <w:rPr>
                <w:rFonts w:ascii="宋体" w:hAnsi="宋体" w:eastAsia="宋体" w:cs="宋体"/>
              </w:rPr>
            </w:pPr>
          </w:p>
        </w:tc>
      </w:tr>
      <w:tr w14:paraId="7B08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0" w:type="dxa"/>
            <w:vAlign w:val="center"/>
          </w:tcPr>
          <w:p w14:paraId="58D6224B">
            <w:pPr>
              <w:spacing w:line="360"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325" w:type="dxa"/>
          </w:tcPr>
          <w:p w14:paraId="667E6B42">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若中标产品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08C0B457">
            <w:pPr>
              <w:spacing w:line="276" w:lineRule="auto"/>
              <w:rPr>
                <w:rFonts w:ascii="宋体" w:hAnsi="宋体" w:eastAsia="宋体" w:cs="宋体"/>
                <w:b/>
                <w:sz w:val="24"/>
                <w:szCs w:val="21"/>
              </w:rPr>
            </w:pPr>
          </w:p>
        </w:tc>
      </w:tr>
      <w:tr w14:paraId="34A6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vAlign w:val="center"/>
          </w:tcPr>
          <w:p w14:paraId="3C9B09BF">
            <w:pPr>
              <w:spacing w:line="360"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325" w:type="dxa"/>
          </w:tcPr>
          <w:p w14:paraId="2BB68446">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投标人必须接受:需方的采购谈判方法</w:t>
            </w:r>
          </w:p>
        </w:tc>
        <w:tc>
          <w:tcPr>
            <w:tcW w:w="1074" w:type="dxa"/>
          </w:tcPr>
          <w:p w14:paraId="75598E9C">
            <w:pPr>
              <w:spacing w:line="276" w:lineRule="auto"/>
              <w:rPr>
                <w:rFonts w:ascii="宋体" w:hAnsi="宋体" w:eastAsia="宋体" w:cs="宋体"/>
                <w:szCs w:val="21"/>
              </w:rPr>
            </w:pPr>
          </w:p>
        </w:tc>
      </w:tr>
      <w:tr w14:paraId="764E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2FD26C4B">
            <w:pPr>
              <w:spacing w:line="360" w:lineRule="auto"/>
              <w:jc w:val="center"/>
              <w:rPr>
                <w:rFonts w:ascii="宋体" w:hAnsi="宋体" w:eastAsia="宋体" w:cs="宋体"/>
                <w:b/>
                <w:szCs w:val="18"/>
              </w:rPr>
            </w:pPr>
            <w:r>
              <w:rPr>
                <w:rFonts w:hint="eastAsia" w:ascii="宋体" w:hAnsi="宋体" w:eastAsia="宋体" w:cs="宋体"/>
                <w:b/>
                <w:szCs w:val="18"/>
              </w:rPr>
              <w:t>4</w:t>
            </w:r>
          </w:p>
        </w:tc>
        <w:tc>
          <w:tcPr>
            <w:tcW w:w="7325" w:type="dxa"/>
          </w:tcPr>
          <w:p w14:paraId="11518C5D">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日内，采购人向中标人支付发票等额货款。</w:t>
            </w:r>
          </w:p>
        </w:tc>
        <w:tc>
          <w:tcPr>
            <w:tcW w:w="1074" w:type="dxa"/>
          </w:tcPr>
          <w:p w14:paraId="5A70A2E0">
            <w:pPr>
              <w:spacing w:line="276" w:lineRule="auto"/>
              <w:rPr>
                <w:rFonts w:ascii="宋体" w:hAnsi="宋体" w:eastAsia="宋体" w:cs="宋体"/>
                <w:szCs w:val="21"/>
              </w:rPr>
            </w:pPr>
          </w:p>
        </w:tc>
      </w:tr>
      <w:tr w14:paraId="5B5E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2A7842D8">
            <w:pPr>
              <w:spacing w:line="360" w:lineRule="auto"/>
              <w:jc w:val="center"/>
              <w:rPr>
                <w:rFonts w:ascii="宋体" w:hAnsi="宋体" w:eastAsia="宋体" w:cs="宋体"/>
                <w:b/>
                <w:sz w:val="24"/>
                <w:szCs w:val="21"/>
              </w:rPr>
            </w:pPr>
            <w:r>
              <w:rPr>
                <w:rFonts w:hint="eastAsia" w:ascii="宋体" w:hAnsi="宋体" w:eastAsia="宋体" w:cs="宋体"/>
                <w:b/>
                <w:szCs w:val="18"/>
              </w:rPr>
              <w:t>5</w:t>
            </w:r>
          </w:p>
        </w:tc>
        <w:tc>
          <w:tcPr>
            <w:tcW w:w="7325" w:type="dxa"/>
          </w:tcPr>
          <w:p w14:paraId="11690CF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验收方式:由使用单位进行验收，中标供应商提供的医用产品必须符合国家承认的相应标准;产品合格证每批次1份，产品检测报告每批次1份。</w:t>
            </w:r>
          </w:p>
        </w:tc>
        <w:tc>
          <w:tcPr>
            <w:tcW w:w="1074" w:type="dxa"/>
          </w:tcPr>
          <w:p w14:paraId="6761EF77">
            <w:pPr>
              <w:spacing w:line="276" w:lineRule="auto"/>
              <w:rPr>
                <w:rFonts w:ascii="宋体" w:hAnsi="宋体" w:eastAsia="宋体" w:cs="宋体"/>
                <w:szCs w:val="21"/>
              </w:rPr>
            </w:pPr>
          </w:p>
        </w:tc>
      </w:tr>
      <w:tr w14:paraId="66E5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5F132E70">
            <w:pPr>
              <w:spacing w:line="360" w:lineRule="auto"/>
              <w:jc w:val="center"/>
              <w:rPr>
                <w:rFonts w:ascii="宋体" w:hAnsi="宋体" w:eastAsia="宋体" w:cs="宋体"/>
                <w:b/>
                <w:sz w:val="24"/>
                <w:szCs w:val="21"/>
              </w:rPr>
            </w:pPr>
            <w:r>
              <w:rPr>
                <w:rFonts w:hint="eastAsia" w:ascii="宋体" w:hAnsi="宋体" w:eastAsia="宋体" w:cs="宋体"/>
                <w:b/>
                <w:szCs w:val="18"/>
              </w:rPr>
              <w:t>6</w:t>
            </w:r>
          </w:p>
        </w:tc>
        <w:tc>
          <w:tcPr>
            <w:tcW w:w="7325" w:type="dxa"/>
          </w:tcPr>
          <w:p w14:paraId="3A106F31">
            <w:pPr>
              <w:spacing w:line="300" w:lineRule="exact"/>
              <w:rPr>
                <w:rFonts w:hint="eastAsia" w:ascii="宋体" w:hAnsi="宋体" w:eastAsia="宋体" w:cs="宋体"/>
                <w:kern w:val="0"/>
                <w:szCs w:val="21"/>
                <w:highlight w:val="yellow"/>
                <w:lang w:val="en-US" w:eastAsia="zh-CN"/>
              </w:rPr>
            </w:pPr>
            <w:r>
              <w:rPr>
                <w:rFonts w:hint="eastAsia" w:ascii="宋体" w:hAnsi="宋体" w:eastAsia="宋体" w:cs="宋体"/>
                <w:kern w:val="0"/>
                <w:szCs w:val="21"/>
                <w:highlight w:val="yellow"/>
                <w:lang w:val="ru-RU"/>
              </w:rPr>
              <w:t>所提供产品的有效期不得少于产品整个有效期的三分之</w:t>
            </w:r>
            <w:r>
              <w:rPr>
                <w:rFonts w:hint="eastAsia" w:ascii="宋体" w:hAnsi="宋体" w:eastAsia="宋体" w:cs="宋体"/>
                <w:kern w:val="0"/>
                <w:szCs w:val="21"/>
                <w:highlight w:val="yellow"/>
                <w:lang w:val="en-US" w:eastAsia="zh-CN"/>
              </w:rPr>
              <w:t>二</w:t>
            </w:r>
          </w:p>
        </w:tc>
        <w:tc>
          <w:tcPr>
            <w:tcW w:w="1074" w:type="dxa"/>
          </w:tcPr>
          <w:p w14:paraId="59530DE5">
            <w:pPr>
              <w:spacing w:line="300" w:lineRule="exact"/>
              <w:ind w:firstLine="630" w:firstLineChars="300"/>
              <w:rPr>
                <w:rFonts w:ascii="宋体" w:hAnsi="宋体" w:eastAsia="宋体" w:cs="宋体"/>
                <w:bCs/>
                <w:szCs w:val="21"/>
              </w:rPr>
            </w:pPr>
          </w:p>
        </w:tc>
      </w:tr>
      <w:tr w14:paraId="5553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0A316565">
            <w:pPr>
              <w:spacing w:line="360" w:lineRule="auto"/>
              <w:jc w:val="center"/>
              <w:rPr>
                <w:rFonts w:ascii="宋体" w:hAnsi="宋体" w:eastAsia="宋体" w:cs="宋体"/>
                <w:b/>
                <w:sz w:val="24"/>
                <w:szCs w:val="21"/>
              </w:rPr>
            </w:pPr>
            <w:r>
              <w:rPr>
                <w:rFonts w:hint="eastAsia" w:ascii="宋体" w:hAnsi="宋体" w:eastAsia="宋体" w:cs="宋体"/>
                <w:b/>
                <w:szCs w:val="18"/>
              </w:rPr>
              <w:t>7</w:t>
            </w:r>
          </w:p>
        </w:tc>
        <w:tc>
          <w:tcPr>
            <w:tcW w:w="7325" w:type="dxa"/>
          </w:tcPr>
          <w:p w14:paraId="0C5E7FDD">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售后服务基本要求</w:t>
            </w:r>
          </w:p>
          <w:p w14:paraId="4D5A81C6">
            <w:pPr>
              <w:pStyle w:val="7"/>
              <w:ind w:left="0" w:leftChars="0" w:firstLine="0" w:firstLineChars="0"/>
              <w:rPr>
                <w:rFonts w:hint="eastAsia" w:ascii="宋体" w:hAnsi="宋体" w:eastAsia="宋体" w:cs="宋体"/>
                <w:kern w:val="0"/>
                <w:sz w:val="21"/>
                <w:szCs w:val="21"/>
                <w:highlight w:val="yellow"/>
                <w:lang w:val="ru-RU" w:eastAsia="zh-CN" w:bidi="ar-SA"/>
              </w:rPr>
            </w:pPr>
            <w:r>
              <w:rPr>
                <w:rFonts w:hint="eastAsia" w:ascii="宋体" w:hAnsi="宋体" w:cs="宋体"/>
                <w:kern w:val="0"/>
                <w:sz w:val="21"/>
                <w:szCs w:val="21"/>
                <w:highlight w:val="yellow"/>
                <w:lang w:val="ru-RU" w:eastAsia="zh-CN" w:bidi="ar-SA"/>
              </w:rPr>
              <w:t>（</w:t>
            </w:r>
            <w:r>
              <w:rPr>
                <w:rFonts w:hint="eastAsia" w:ascii="宋体" w:hAnsi="宋体" w:cs="宋体"/>
                <w:kern w:val="0"/>
                <w:sz w:val="21"/>
                <w:szCs w:val="21"/>
                <w:highlight w:val="yellow"/>
                <w:lang w:val="en-US" w:eastAsia="zh-CN" w:bidi="ar-SA"/>
              </w:rPr>
              <w:t>1</w:t>
            </w:r>
            <w:r>
              <w:rPr>
                <w:rFonts w:hint="eastAsia" w:ascii="宋体" w:hAnsi="宋体" w:cs="宋体"/>
                <w:kern w:val="0"/>
                <w:sz w:val="21"/>
                <w:szCs w:val="21"/>
                <w:highlight w:val="yellow"/>
                <w:lang w:val="ru-RU" w:eastAsia="zh-CN" w:bidi="ar-SA"/>
              </w:rPr>
              <w:t>）</w:t>
            </w:r>
            <w:r>
              <w:rPr>
                <w:rFonts w:hint="eastAsia" w:ascii="宋体" w:hAnsi="宋体" w:eastAsia="宋体" w:cs="宋体"/>
                <w:kern w:val="0"/>
                <w:sz w:val="21"/>
                <w:szCs w:val="21"/>
                <w:highlight w:val="yellow"/>
                <w:lang w:val="ru-RU" w:eastAsia="zh-CN" w:bidi="ar-SA"/>
              </w:rPr>
              <w:t>一般产品配送不超过 48 小时送达;紧急配送，供应商应保证所有产品在 4小时内送达。使用单位发出订单，将不分节假日。供应商应留置值班人员以满足医院订货需求。如果上述两种情况没有按照医院要求及时送达，所产生的一切后果将由供应商负责。供应商须承诺无条件更换破损和近效期退换服务。</w:t>
            </w:r>
          </w:p>
          <w:p w14:paraId="1FA878C2">
            <w:pPr>
              <w:pStyle w:val="7"/>
              <w:ind w:left="0" w:leftChars="0" w:firstLine="0" w:firstLineChars="0"/>
              <w:rPr>
                <w:rFonts w:hint="eastAsia"/>
                <w:lang w:val="ru-RU"/>
              </w:rPr>
            </w:pPr>
            <w:r>
              <w:rPr>
                <w:rFonts w:hint="eastAsia" w:ascii="宋体" w:hAnsi="宋体" w:eastAsia="宋体" w:cs="宋体"/>
                <w:kern w:val="0"/>
                <w:sz w:val="21"/>
                <w:szCs w:val="21"/>
                <w:highlight w:val="yellow"/>
                <w:lang w:val="ru-RU" w:eastAsia="zh-CN" w:bidi="ar-SA"/>
              </w:rPr>
              <w:t>(2)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8255F32">
            <w:pPr>
              <w:spacing w:line="300" w:lineRule="exact"/>
              <w:ind w:firstLine="630" w:firstLineChars="300"/>
              <w:rPr>
                <w:rFonts w:ascii="宋体" w:hAnsi="宋体" w:eastAsia="宋体" w:cs="宋体"/>
                <w:bCs/>
                <w:szCs w:val="21"/>
              </w:rPr>
            </w:pPr>
          </w:p>
        </w:tc>
      </w:tr>
      <w:tr w14:paraId="5BDE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20" w:type="dxa"/>
            <w:vAlign w:val="center"/>
          </w:tcPr>
          <w:p w14:paraId="0680072F">
            <w:pPr>
              <w:spacing w:line="360" w:lineRule="auto"/>
              <w:jc w:val="center"/>
              <w:rPr>
                <w:rFonts w:ascii="宋体" w:hAnsi="宋体" w:eastAsia="宋体" w:cs="宋体"/>
                <w:b/>
                <w:sz w:val="24"/>
                <w:szCs w:val="21"/>
              </w:rPr>
            </w:pPr>
            <w:r>
              <w:rPr>
                <w:rFonts w:hint="eastAsia" w:ascii="宋体" w:hAnsi="宋体" w:eastAsia="宋体" w:cs="宋体"/>
                <w:b/>
                <w:szCs w:val="18"/>
              </w:rPr>
              <w:t>8</w:t>
            </w:r>
          </w:p>
        </w:tc>
        <w:tc>
          <w:tcPr>
            <w:tcW w:w="7325" w:type="dxa"/>
          </w:tcPr>
          <w:p w14:paraId="6DD1FFD7">
            <w:pPr>
              <w:spacing w:line="300" w:lineRule="exact"/>
              <w:rPr>
                <w:rFonts w:ascii="宋体" w:hAnsi="宋体" w:eastAsia="宋体" w:cs="宋体"/>
                <w:kern w:val="0"/>
                <w:szCs w:val="21"/>
                <w:highlight w:val="yellow"/>
              </w:rPr>
            </w:pPr>
            <w:r>
              <w:rPr>
                <w:rFonts w:hint="eastAsia" w:ascii="宋体" w:hAnsi="宋体" w:eastAsia="宋体" w:cs="宋体"/>
                <w:kern w:val="0"/>
                <w:szCs w:val="21"/>
                <w:highlight w:val="yellow"/>
              </w:rPr>
              <w:t>《医疗器械生产企业许可证》、《医疗器械经营企业许可证》、《医疗器械注8册证》、《消毒产品生产企业卫生许可证》、《消毒剂和消毒器械卫生许可批件》、《营业执照(正副本)》、产品检验报告书等到期前，应将变更后的最新有效证明文件报送到采购人。</w:t>
            </w:r>
          </w:p>
        </w:tc>
        <w:tc>
          <w:tcPr>
            <w:tcW w:w="1074" w:type="dxa"/>
          </w:tcPr>
          <w:p w14:paraId="7AE920FC">
            <w:pPr>
              <w:spacing w:line="300" w:lineRule="exact"/>
              <w:ind w:firstLine="630" w:firstLineChars="300"/>
              <w:rPr>
                <w:rFonts w:ascii="宋体" w:hAnsi="宋体" w:eastAsia="宋体" w:cs="宋体"/>
                <w:bCs/>
                <w:szCs w:val="21"/>
              </w:rPr>
            </w:pPr>
          </w:p>
        </w:tc>
      </w:tr>
      <w:tr w14:paraId="197B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686BB6AD">
            <w:pPr>
              <w:spacing w:line="360" w:lineRule="auto"/>
              <w:jc w:val="both"/>
              <w:rPr>
                <w:rFonts w:hint="eastAsia" w:ascii="宋体" w:hAnsi="宋体" w:eastAsia="宋体" w:cs="宋体"/>
                <w:b/>
                <w:sz w:val="24"/>
                <w:szCs w:val="21"/>
                <w:lang w:val="ru-RU"/>
              </w:rPr>
            </w:pPr>
          </w:p>
          <w:p w14:paraId="28B63BDB">
            <w:pPr>
              <w:spacing w:line="360" w:lineRule="auto"/>
              <w:ind w:firstLine="241" w:firstLineChars="100"/>
              <w:jc w:val="both"/>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325" w:type="dxa"/>
          </w:tcPr>
          <w:p w14:paraId="5D8047AE">
            <w:pPr>
              <w:spacing w:line="300" w:lineRule="exact"/>
              <w:rPr>
                <w:rFonts w:ascii="宋体" w:hAnsi="宋体" w:eastAsia="宋体" w:cs="宋体"/>
                <w:kern w:val="0"/>
                <w:szCs w:val="21"/>
                <w:highlight w:val="yellow"/>
                <w:lang w:val="ru-RU"/>
              </w:rPr>
            </w:pPr>
            <w:r>
              <w:rPr>
                <w:rFonts w:hint="eastAsia" w:ascii="宋体" w:hAnsi="宋体" w:eastAsia="宋体" w:cs="宋体"/>
                <w:kern w:val="0"/>
                <w:szCs w:val="21"/>
                <w:highlight w:val="yellow"/>
                <w:lang w:val="ru-RU"/>
              </w:rPr>
              <w:t>中标产品的采购、配送均须通过甲方 SPD 医用耗材管理系统。根据中标结果乙方必须与甲方 SPD 供应链延伸服务商签订供应链延伸服务协议,并支付交易金额 2%的服务费用，否则甲方有权单方解除本协议，并重新组织招投标。</w:t>
            </w:r>
          </w:p>
        </w:tc>
        <w:tc>
          <w:tcPr>
            <w:tcW w:w="1074" w:type="dxa"/>
          </w:tcPr>
          <w:p w14:paraId="183E6F29">
            <w:pPr>
              <w:spacing w:line="300" w:lineRule="exact"/>
              <w:ind w:firstLine="630" w:firstLineChars="300"/>
              <w:rPr>
                <w:rFonts w:ascii="宋体" w:hAnsi="宋体" w:eastAsia="宋体" w:cs="宋体"/>
                <w:bCs/>
                <w:szCs w:val="21"/>
              </w:rPr>
            </w:pPr>
          </w:p>
        </w:tc>
      </w:tr>
      <w:tr w14:paraId="00BF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00DC5262">
            <w:pPr>
              <w:spacing w:line="360" w:lineRule="auto"/>
              <w:ind w:firstLine="241" w:firstLineChars="100"/>
              <w:jc w:val="center"/>
              <w:rPr>
                <w:rFonts w:hint="eastAsia" w:ascii="宋体" w:hAnsi="宋体" w:eastAsia="宋体" w:cs="宋体"/>
                <w:b/>
                <w:sz w:val="24"/>
                <w:szCs w:val="21"/>
                <w:lang w:val="en-US" w:eastAsia="zh-CN"/>
              </w:rPr>
            </w:pPr>
          </w:p>
          <w:p w14:paraId="47B7C144">
            <w:pPr>
              <w:spacing w:line="360" w:lineRule="auto"/>
              <w:ind w:firstLine="241" w:firstLineChars="100"/>
              <w:jc w:val="center"/>
              <w:rPr>
                <w:rFonts w:hint="eastAsia" w:ascii="宋体" w:hAnsi="宋体" w:eastAsia="宋体" w:cs="宋体"/>
                <w:b/>
                <w:sz w:val="24"/>
                <w:szCs w:val="21"/>
                <w:lang w:val="en-US" w:eastAsia="zh-CN"/>
              </w:rPr>
            </w:pPr>
          </w:p>
          <w:p w14:paraId="30284E9B">
            <w:pPr>
              <w:spacing w:line="360" w:lineRule="auto"/>
              <w:ind w:firstLine="241" w:firstLineChars="100"/>
              <w:jc w:val="center"/>
              <w:rPr>
                <w:rFonts w:hint="default" w:ascii="宋体" w:hAnsi="宋体" w:eastAsia="宋体" w:cs="宋体"/>
                <w:b/>
                <w:sz w:val="24"/>
                <w:szCs w:val="21"/>
                <w:lang w:val="en-US" w:eastAsia="zh-CN"/>
              </w:rPr>
            </w:pPr>
            <w:r>
              <w:rPr>
                <w:rFonts w:hint="eastAsia" w:ascii="宋体" w:hAnsi="宋体" w:eastAsia="宋体" w:cs="宋体"/>
                <w:b/>
                <w:sz w:val="24"/>
                <w:szCs w:val="21"/>
                <w:lang w:val="en-US" w:eastAsia="zh-CN"/>
              </w:rPr>
              <w:t>10</w:t>
            </w:r>
          </w:p>
        </w:tc>
        <w:tc>
          <w:tcPr>
            <w:tcW w:w="7325" w:type="dxa"/>
          </w:tcPr>
          <w:p w14:paraId="516D8A6E">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报价要求:</w:t>
            </w:r>
          </w:p>
          <w:p w14:paraId="527309FE">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(1)投标人所报价格的产品必须为全新的、经检验合格的并在各医院正常运行的产品。</w:t>
            </w:r>
          </w:p>
          <w:p w14:paraId="7F0210BF">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在开标现场提交加盖投标公司公章密封的人民币报价表，报价表标明的(2)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024DC92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(3)报价市种为人民币。</w:t>
            </w:r>
          </w:p>
        </w:tc>
        <w:tc>
          <w:tcPr>
            <w:tcW w:w="1074" w:type="dxa"/>
          </w:tcPr>
          <w:p w14:paraId="00C34068">
            <w:pPr>
              <w:spacing w:line="300" w:lineRule="exact"/>
              <w:ind w:firstLine="630" w:firstLineChars="300"/>
              <w:rPr>
                <w:rFonts w:ascii="宋体" w:hAnsi="宋体" w:eastAsia="宋体" w:cs="宋体"/>
                <w:bCs/>
                <w:szCs w:val="21"/>
              </w:rPr>
            </w:pPr>
          </w:p>
        </w:tc>
      </w:tr>
    </w:tbl>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36308AAE">
      <w:pPr>
        <w:rPr>
          <w:rFonts w:hint="eastAsia" w:ascii="方正小标宋_GBK" w:eastAsia="方正小标宋_GBK" w:hAnsiTheme="minorEastAsia"/>
          <w:b w:val="0"/>
          <w:bCs w:val="0"/>
          <w:sz w:val="32"/>
          <w:szCs w:val="32"/>
        </w:rPr>
      </w:pPr>
      <w:bookmarkStart w:id="92" w:name="_Toc12311"/>
      <w:bookmarkStart w:id="93" w:name="_Hlk126044986"/>
      <w:bookmarkStart w:id="94" w:name="_Hlk126913563"/>
      <w:r>
        <w:rPr>
          <w:rFonts w:hint="eastAsia" w:ascii="方正小标宋_GBK" w:eastAsia="方正小标宋_GBK" w:hAnsiTheme="minorEastAsia"/>
          <w:b w:val="0"/>
          <w:bCs w:val="0"/>
          <w:sz w:val="32"/>
          <w:szCs w:val="32"/>
        </w:rPr>
        <w:br w:type="page"/>
      </w:r>
    </w:p>
    <w:p w14:paraId="4357823D">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bookmarkEnd w:id="92"/>
    </w:p>
    <w:p w14:paraId="6DCB1847"/>
    <w:bookmarkEnd w:id="93"/>
    <w:bookmarkEnd w:id="94"/>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74E117-CB67-45D8-BFC6-1254155A56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803BBA0-AE5E-4BB2-A2D5-5EE42404A342}"/>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A33E61A4-AE84-4347-8032-5A90E64B09D2}"/>
  </w:font>
  <w:font w:name="仿宋_GB2312">
    <w:panose1 w:val="02010609030101010101"/>
    <w:charset w:val="86"/>
    <w:family w:val="modern"/>
    <w:pitch w:val="default"/>
    <w:sig w:usb0="00000001" w:usb1="080E0000" w:usb2="00000000" w:usb3="00000000" w:csb0="00040000" w:csb1="00000000"/>
    <w:embedRegular r:id="rId4" w:fontKey="{1A1FCEBD-BD6C-4A57-89CC-075CB7FBBEF4}"/>
  </w:font>
  <w:font w:name="华文中宋">
    <w:panose1 w:val="02010600040101010101"/>
    <w:charset w:val="86"/>
    <w:family w:val="auto"/>
    <w:pitch w:val="default"/>
    <w:sig w:usb0="00000287" w:usb1="080F0000" w:usb2="00000000" w:usb3="00000000" w:csb0="0004009F" w:csb1="DFD70000"/>
    <w:embedRegular r:id="rId5" w:fontKey="{5396CBE1-84E5-4920-97C4-E0E47D5E89C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BB56ABCD-1F6E-441F-9D94-8041AC3E227F}"/>
  </w:font>
  <w:font w:name="方正小标宋简体">
    <w:panose1 w:val="03000509000000000000"/>
    <w:charset w:val="86"/>
    <w:family w:val="auto"/>
    <w:pitch w:val="default"/>
    <w:sig w:usb0="00000001" w:usb1="080E0000" w:usb2="00000000" w:usb3="00000000" w:csb0="00040000" w:csb1="00000000"/>
    <w:embedRegular r:id="rId7" w:fontKey="{04EF1384-C041-4FC3-A76C-F05319DA369B}"/>
  </w:font>
  <w:font w:name="仿宋">
    <w:panose1 w:val="02010609060101010101"/>
    <w:charset w:val="86"/>
    <w:family w:val="modern"/>
    <w:pitch w:val="default"/>
    <w:sig w:usb0="800002BF" w:usb1="38CF7CFA" w:usb2="00000016" w:usb3="00000000" w:csb0="00040001" w:csb1="00000000"/>
    <w:embedRegular r:id="rId8" w:fontKey="{D2AC190D-0207-4975-A167-138E516FC534}"/>
  </w:font>
  <w:font w:name="方正小标宋_GBK">
    <w:panose1 w:val="03000509000000000000"/>
    <w:charset w:val="86"/>
    <w:family w:val="script"/>
    <w:pitch w:val="default"/>
    <w:sig w:usb0="00000001" w:usb1="080E0000" w:usb2="00000000" w:usb3="00000000" w:csb0="00040000" w:csb1="00000000"/>
    <w:embedRegular r:id="rId9" w:fontKey="{2310F207-73C7-4D07-9911-0AE42DBB76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5E0DAD5D"/>
    <w:multiLevelType w:val="singleLevel"/>
    <w:tmpl w:val="5E0DAD5D"/>
    <w:lvl w:ilvl="0" w:tentative="0">
      <w:start w:val="1"/>
      <w:numFmt w:val="decimal"/>
      <w:lvlText w:val="(%1)"/>
      <w:lvlJc w:val="left"/>
      <w:pPr>
        <w:ind w:left="425" w:hanging="425"/>
      </w:pPr>
      <w:rPr>
        <w:rFonts w:hint="default"/>
      </w:rPr>
    </w:lvl>
  </w:abstractNum>
  <w:abstractNum w:abstractNumId="22">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3">
    <w:nsid w:val="77D5EEE3"/>
    <w:multiLevelType w:val="singleLevel"/>
    <w:tmpl w:val="77D5EEE3"/>
    <w:lvl w:ilvl="0" w:tentative="0">
      <w:start w:val="1"/>
      <w:numFmt w:val="decimal"/>
      <w:lvlText w:val="(%1)"/>
      <w:lvlJc w:val="left"/>
      <w:pPr>
        <w:ind w:left="425" w:hanging="425"/>
      </w:pPr>
      <w:rPr>
        <w:rFonts w:hint="default"/>
      </w:rPr>
    </w:lvl>
  </w:abstractNum>
  <w:num w:numId="1">
    <w:abstractNumId w:val="22"/>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21"/>
  </w:num>
  <w:num w:numId="13">
    <w:abstractNumId w:val="10"/>
  </w:num>
  <w:num w:numId="14">
    <w:abstractNumId w:val="23"/>
  </w:num>
  <w:num w:numId="15">
    <w:abstractNumId w:val="13"/>
  </w:num>
  <w:num w:numId="16">
    <w:abstractNumId w:val="17"/>
  </w:num>
  <w:num w:numId="17">
    <w:abstractNumId w:val="4"/>
  </w:num>
  <w:num w:numId="18">
    <w:abstractNumId w:val="16"/>
  </w:num>
  <w:num w:numId="19">
    <w:abstractNumId w:val="7"/>
  </w:num>
  <w:num w:numId="20">
    <w:abstractNumId w:val="5"/>
  </w:num>
  <w:num w:numId="21">
    <w:abstractNumId w:val="1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34F5608"/>
    <w:rsid w:val="035565DF"/>
    <w:rsid w:val="03BD1657"/>
    <w:rsid w:val="045E4AE4"/>
    <w:rsid w:val="05AC5740"/>
    <w:rsid w:val="06156D08"/>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AB26E31"/>
    <w:rsid w:val="0B262E10"/>
    <w:rsid w:val="0B6251F3"/>
    <w:rsid w:val="0B802691"/>
    <w:rsid w:val="0BE95409"/>
    <w:rsid w:val="0C72611A"/>
    <w:rsid w:val="0FAD08ED"/>
    <w:rsid w:val="109A5EF0"/>
    <w:rsid w:val="10A23C41"/>
    <w:rsid w:val="10DC7269"/>
    <w:rsid w:val="117575D2"/>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F94279"/>
    <w:rsid w:val="1B7B2B10"/>
    <w:rsid w:val="1D471F18"/>
    <w:rsid w:val="1E324BDA"/>
    <w:rsid w:val="1EAB60A6"/>
    <w:rsid w:val="1EAE474B"/>
    <w:rsid w:val="1EFC79EE"/>
    <w:rsid w:val="1F1B41F1"/>
    <w:rsid w:val="1F83054B"/>
    <w:rsid w:val="1F9F0833"/>
    <w:rsid w:val="20012D1F"/>
    <w:rsid w:val="20B25CBE"/>
    <w:rsid w:val="22221D49"/>
    <w:rsid w:val="22635651"/>
    <w:rsid w:val="227616EA"/>
    <w:rsid w:val="2367560F"/>
    <w:rsid w:val="24B05A43"/>
    <w:rsid w:val="25335A76"/>
    <w:rsid w:val="257965BE"/>
    <w:rsid w:val="25897742"/>
    <w:rsid w:val="263F63D5"/>
    <w:rsid w:val="26A86584"/>
    <w:rsid w:val="27F65DCE"/>
    <w:rsid w:val="281B3EE1"/>
    <w:rsid w:val="298B4180"/>
    <w:rsid w:val="299C6CF1"/>
    <w:rsid w:val="2A005F31"/>
    <w:rsid w:val="2A9D615B"/>
    <w:rsid w:val="2AE65E55"/>
    <w:rsid w:val="2B7B2CD7"/>
    <w:rsid w:val="2BBE4A09"/>
    <w:rsid w:val="2C7F577D"/>
    <w:rsid w:val="2C916CE1"/>
    <w:rsid w:val="2CB573F1"/>
    <w:rsid w:val="2CEF501C"/>
    <w:rsid w:val="2DF5037E"/>
    <w:rsid w:val="2E1F29F2"/>
    <w:rsid w:val="2FA22E86"/>
    <w:rsid w:val="309A28A5"/>
    <w:rsid w:val="309B7B37"/>
    <w:rsid w:val="31EE248D"/>
    <w:rsid w:val="33097BA0"/>
    <w:rsid w:val="33346566"/>
    <w:rsid w:val="340B487E"/>
    <w:rsid w:val="34876E3B"/>
    <w:rsid w:val="34D53509"/>
    <w:rsid w:val="34DB5F91"/>
    <w:rsid w:val="35AF70D3"/>
    <w:rsid w:val="3676199F"/>
    <w:rsid w:val="36DB2EFD"/>
    <w:rsid w:val="37295B73"/>
    <w:rsid w:val="378E64BD"/>
    <w:rsid w:val="379773BF"/>
    <w:rsid w:val="37BA2B92"/>
    <w:rsid w:val="3A736BBC"/>
    <w:rsid w:val="3AC4797F"/>
    <w:rsid w:val="3B0F15A5"/>
    <w:rsid w:val="3B83690E"/>
    <w:rsid w:val="3D222D3E"/>
    <w:rsid w:val="3D5460D2"/>
    <w:rsid w:val="3EF21FA7"/>
    <w:rsid w:val="3FED5CCD"/>
    <w:rsid w:val="400D4BB3"/>
    <w:rsid w:val="416D6A0E"/>
    <w:rsid w:val="417D1DC2"/>
    <w:rsid w:val="422C6141"/>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8782D"/>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92E63F2"/>
    <w:rsid w:val="59462FFB"/>
    <w:rsid w:val="5AC3366B"/>
    <w:rsid w:val="5B6B4F9B"/>
    <w:rsid w:val="5C8508F0"/>
    <w:rsid w:val="5DDB6737"/>
    <w:rsid w:val="5EED3477"/>
    <w:rsid w:val="5F2E6A0B"/>
    <w:rsid w:val="5FEA46E0"/>
    <w:rsid w:val="5FEE1524"/>
    <w:rsid w:val="6001450E"/>
    <w:rsid w:val="6005031D"/>
    <w:rsid w:val="601E789F"/>
    <w:rsid w:val="60FE4811"/>
    <w:rsid w:val="61C90448"/>
    <w:rsid w:val="62032444"/>
    <w:rsid w:val="62131CA2"/>
    <w:rsid w:val="627B3857"/>
    <w:rsid w:val="62EF4D77"/>
    <w:rsid w:val="630006BE"/>
    <w:rsid w:val="63147DC8"/>
    <w:rsid w:val="63195E00"/>
    <w:rsid w:val="63907C20"/>
    <w:rsid w:val="63BD55FE"/>
    <w:rsid w:val="651915C4"/>
    <w:rsid w:val="65F00D0C"/>
    <w:rsid w:val="65F93378"/>
    <w:rsid w:val="660A4DD7"/>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F7341F"/>
    <w:rsid w:val="79845204"/>
    <w:rsid w:val="79940985"/>
    <w:rsid w:val="79DE04A6"/>
    <w:rsid w:val="79E629C5"/>
    <w:rsid w:val="7A3149A7"/>
    <w:rsid w:val="7AC671D8"/>
    <w:rsid w:val="7B00543C"/>
    <w:rsid w:val="7C2B4657"/>
    <w:rsid w:val="7CD30F7E"/>
    <w:rsid w:val="7D136079"/>
    <w:rsid w:val="7D9628D3"/>
    <w:rsid w:val="7DFD696E"/>
    <w:rsid w:val="7F13408A"/>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6488</Words>
  <Characters>6951</Characters>
  <Lines>38</Lines>
  <Paragraphs>65</Paragraphs>
  <TotalTime>9</TotalTime>
  <ScaleCrop>false</ScaleCrop>
  <LinksUpToDate>false</LinksUpToDate>
  <CharactersWithSpaces>7021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2025-08-08T07:37:27Z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