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721" w:type="pct"/>
        <w:tblInd w:w="493" w:type="dxa"/>
        <w:tblLayout w:type="autofit"/>
        <w:tblCellMar>
          <w:top w:w="0" w:type="dxa"/>
          <w:left w:w="108" w:type="dxa"/>
          <w:bottom w:w="0" w:type="dxa"/>
          <w:right w:w="108" w:type="dxa"/>
        </w:tblCellMar>
      </w:tblPr>
      <w:tblGrid>
        <w:gridCol w:w="436"/>
        <w:gridCol w:w="2086"/>
        <w:gridCol w:w="2916"/>
        <w:gridCol w:w="1681"/>
        <w:gridCol w:w="1243"/>
      </w:tblGrid>
      <w:tr w14:paraId="0513F2F8">
        <w:tblPrEx>
          <w:tblCellMar>
            <w:top w:w="0" w:type="dxa"/>
            <w:left w:w="108" w:type="dxa"/>
            <w:bottom w:w="0" w:type="dxa"/>
            <w:right w:w="108" w:type="dxa"/>
          </w:tblCellMar>
        </w:tblPrEx>
        <w:trPr>
          <w:trHeight w:val="15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4044D92">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43</w:t>
            </w:r>
            <w:r>
              <w:rPr>
                <w:rFonts w:hint="eastAsia" w:eastAsia="宋体"/>
                <w:b/>
                <w:color w:val="000000"/>
                <w:sz w:val="30"/>
                <w:szCs w:val="30"/>
              </w:rPr>
              <w:t>期医用耗材</w:t>
            </w:r>
          </w:p>
        </w:tc>
      </w:tr>
      <w:tr w14:paraId="76FAE029">
        <w:tblPrEx>
          <w:tblCellMar>
            <w:top w:w="0" w:type="dxa"/>
            <w:left w:w="108" w:type="dxa"/>
            <w:bottom w:w="0" w:type="dxa"/>
            <w:right w:w="108" w:type="dxa"/>
          </w:tblCellMar>
        </w:tblPrEx>
        <w:trPr>
          <w:trHeight w:val="353"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247"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174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006" w:type="pct"/>
            <w:tcBorders>
              <w:top w:val="single" w:color="auto" w:sz="4" w:space="0"/>
              <w:left w:val="nil"/>
              <w:bottom w:val="single" w:color="auto" w:sz="4" w:space="0"/>
              <w:right w:val="single" w:color="auto" w:sz="4" w:space="0"/>
            </w:tcBorders>
            <w:shd w:val="clear" w:color="auto" w:fill="auto"/>
            <w:vAlign w:val="center"/>
          </w:tcPr>
          <w:p w14:paraId="19AB14BA">
            <w:pPr>
              <w:jc w:val="center"/>
              <w:rPr>
                <w:rFonts w:hint="eastAsia" w:eastAsia="宋体"/>
                <w:color w:val="000000"/>
                <w:sz w:val="22"/>
                <w:lang w:val="en-US" w:eastAsia="zh-CN"/>
              </w:rPr>
            </w:pPr>
            <w:r>
              <w:rPr>
                <w:rFonts w:hint="eastAsia" w:eastAsia="宋体"/>
                <w:color w:val="000000"/>
                <w:sz w:val="22"/>
                <w:lang w:val="en-US" w:eastAsia="zh-CN"/>
              </w:rPr>
              <w:t>使用科室</w:t>
            </w:r>
          </w:p>
        </w:tc>
        <w:tc>
          <w:tcPr>
            <w:tcW w:w="740" w:type="pct"/>
            <w:tcBorders>
              <w:top w:val="single" w:color="auto" w:sz="4" w:space="0"/>
              <w:left w:val="nil"/>
              <w:bottom w:val="single" w:color="auto" w:sz="4" w:space="0"/>
              <w:right w:val="single" w:color="auto" w:sz="4" w:space="0"/>
            </w:tcBorders>
            <w:shd w:val="clear" w:color="auto" w:fill="auto"/>
            <w:vAlign w:val="center"/>
          </w:tcPr>
          <w:p w14:paraId="3191BE62">
            <w:pPr>
              <w:jc w:val="center"/>
              <w:rPr>
                <w:rFonts w:hint="default" w:eastAsia="宋体"/>
                <w:color w:val="000000"/>
                <w:sz w:val="22"/>
                <w:lang w:val="en-US" w:eastAsia="zh-CN"/>
              </w:rPr>
            </w:pPr>
            <w:r>
              <w:rPr>
                <w:rFonts w:hint="eastAsia" w:eastAsia="宋体"/>
                <w:color w:val="000000"/>
                <w:sz w:val="22"/>
                <w:lang w:val="en-US" w:eastAsia="zh-CN"/>
              </w:rPr>
              <w:t>类别</w:t>
            </w:r>
          </w:p>
        </w:tc>
      </w:tr>
      <w:tr w14:paraId="35186AC1">
        <w:tblPrEx>
          <w:tblCellMar>
            <w:top w:w="0" w:type="dxa"/>
            <w:left w:w="108" w:type="dxa"/>
            <w:bottom w:w="0" w:type="dxa"/>
            <w:right w:w="108" w:type="dxa"/>
          </w:tblCellMar>
        </w:tblPrEx>
        <w:trPr>
          <w:trHeight w:val="221"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247"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rPr>
              <w:t>ZCB2025-HC43-179</w:t>
            </w:r>
          </w:p>
        </w:tc>
        <w:tc>
          <w:tcPr>
            <w:tcW w:w="1744"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rPr>
              <w:t>包内敷料</w:t>
            </w:r>
          </w:p>
        </w:tc>
        <w:tc>
          <w:tcPr>
            <w:tcW w:w="1006" w:type="pct"/>
            <w:tcBorders>
              <w:top w:val="single" w:color="auto" w:sz="4" w:space="0"/>
              <w:left w:val="nil"/>
              <w:bottom w:val="single" w:color="auto" w:sz="4" w:space="0"/>
              <w:right w:val="single" w:color="auto" w:sz="4" w:space="0"/>
            </w:tcBorders>
            <w:shd w:val="clear" w:color="auto" w:fill="auto"/>
            <w:vAlign w:val="center"/>
          </w:tcPr>
          <w:p w14:paraId="3B9CC7F8">
            <w:pPr>
              <w:jc w:val="center"/>
              <w:rPr>
                <w:rFonts w:hint="eastAsia" w:eastAsia="宋体"/>
                <w:color w:val="000000"/>
                <w:sz w:val="22"/>
              </w:rPr>
            </w:pPr>
            <w:r>
              <w:rPr>
                <w:rFonts w:hint="eastAsia" w:eastAsia="宋体"/>
                <w:color w:val="000000"/>
                <w:sz w:val="22"/>
              </w:rPr>
              <w:t>消毒供应中心</w:t>
            </w:r>
          </w:p>
        </w:tc>
        <w:tc>
          <w:tcPr>
            <w:tcW w:w="740" w:type="pct"/>
            <w:tcBorders>
              <w:top w:val="single" w:color="auto" w:sz="4" w:space="0"/>
              <w:left w:val="nil"/>
              <w:bottom w:val="single" w:color="auto" w:sz="4" w:space="0"/>
              <w:right w:val="single" w:color="auto" w:sz="4" w:space="0"/>
            </w:tcBorders>
            <w:shd w:val="clear" w:color="auto" w:fill="auto"/>
            <w:vAlign w:val="center"/>
          </w:tcPr>
          <w:p w14:paraId="2E0A06BC">
            <w:pPr>
              <w:jc w:val="center"/>
              <w:rPr>
                <w:rFonts w:hint="eastAsia" w:eastAsia="宋体"/>
                <w:color w:val="000000"/>
                <w:sz w:val="22"/>
                <w:lang w:val="en-US" w:eastAsia="zh-CN"/>
              </w:rPr>
            </w:pPr>
            <w:r>
              <w:rPr>
                <w:rFonts w:hint="eastAsia" w:eastAsia="宋体"/>
                <w:color w:val="000000"/>
                <w:sz w:val="22"/>
                <w:lang w:val="en-US" w:eastAsia="zh-CN"/>
              </w:rPr>
              <w:t>协议到期</w:t>
            </w:r>
          </w:p>
        </w:tc>
      </w:tr>
      <w:tr w14:paraId="18CCD7FE">
        <w:tblPrEx>
          <w:tblCellMar>
            <w:top w:w="0" w:type="dxa"/>
            <w:left w:w="108" w:type="dxa"/>
            <w:bottom w:w="0" w:type="dxa"/>
            <w:right w:w="108" w:type="dxa"/>
          </w:tblCellMar>
        </w:tblPrEx>
        <w:trPr>
          <w:trHeight w:val="415"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247"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rPr>
              <w:t>ZCB2025-HC43-1</w:t>
            </w:r>
            <w:r>
              <w:rPr>
                <w:rFonts w:hint="eastAsia" w:eastAsia="宋体"/>
                <w:color w:val="000000"/>
                <w:sz w:val="22"/>
                <w:lang w:val="en-US" w:eastAsia="zh-CN"/>
              </w:rPr>
              <w:t>80</w:t>
            </w:r>
          </w:p>
        </w:tc>
        <w:tc>
          <w:tcPr>
            <w:tcW w:w="1744"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rPr>
              <w:t>肺动脉取栓支架系统</w:t>
            </w:r>
          </w:p>
        </w:tc>
        <w:tc>
          <w:tcPr>
            <w:tcW w:w="1006" w:type="pct"/>
            <w:vMerge w:val="restart"/>
            <w:tcBorders>
              <w:top w:val="single" w:color="auto" w:sz="4" w:space="0"/>
              <w:left w:val="nil"/>
              <w:right w:val="single" w:color="auto" w:sz="4" w:space="0"/>
            </w:tcBorders>
            <w:shd w:val="clear" w:color="auto" w:fill="auto"/>
            <w:vAlign w:val="center"/>
          </w:tcPr>
          <w:p w14:paraId="65486468">
            <w:pPr>
              <w:jc w:val="center"/>
              <w:rPr>
                <w:rFonts w:hint="eastAsia" w:eastAsia="宋体"/>
                <w:color w:val="000000"/>
                <w:sz w:val="22"/>
              </w:rPr>
            </w:pPr>
            <w:r>
              <w:rPr>
                <w:rFonts w:hint="eastAsia" w:eastAsia="宋体"/>
                <w:color w:val="000000"/>
                <w:sz w:val="22"/>
              </w:rPr>
              <w:t>心血管内科二病区</w:t>
            </w:r>
          </w:p>
        </w:tc>
        <w:tc>
          <w:tcPr>
            <w:tcW w:w="740" w:type="pct"/>
            <w:vMerge w:val="restart"/>
            <w:tcBorders>
              <w:top w:val="single" w:color="auto" w:sz="4" w:space="0"/>
              <w:left w:val="nil"/>
              <w:right w:val="single" w:color="auto" w:sz="4" w:space="0"/>
            </w:tcBorders>
            <w:shd w:val="clear" w:color="auto" w:fill="auto"/>
            <w:vAlign w:val="center"/>
          </w:tcPr>
          <w:p w14:paraId="6C1936E6">
            <w:pPr>
              <w:jc w:val="center"/>
              <w:rPr>
                <w:rFonts w:hint="eastAsia" w:eastAsia="宋体"/>
                <w:color w:val="000000"/>
                <w:sz w:val="22"/>
                <w:lang w:val="en-US" w:eastAsia="zh-CN"/>
              </w:rPr>
            </w:pPr>
            <w:r>
              <w:rPr>
                <w:rFonts w:hint="eastAsia" w:eastAsia="宋体"/>
                <w:color w:val="000000"/>
                <w:sz w:val="22"/>
                <w:lang w:val="en-US" w:eastAsia="zh-CN"/>
              </w:rPr>
              <w:t>新准入</w:t>
            </w:r>
          </w:p>
        </w:tc>
      </w:tr>
      <w:tr w14:paraId="7958F428">
        <w:tblPrEx>
          <w:tblCellMar>
            <w:top w:w="0" w:type="dxa"/>
            <w:left w:w="108" w:type="dxa"/>
            <w:bottom w:w="0" w:type="dxa"/>
            <w:right w:w="108" w:type="dxa"/>
          </w:tblCellMar>
        </w:tblPrEx>
        <w:trPr>
          <w:trHeight w:val="400"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jc w:val="center"/>
              <w:rPr>
                <w:rFonts w:hint="eastAsia" w:eastAsia="宋体"/>
                <w:color w:val="000000"/>
                <w:sz w:val="22"/>
              </w:rPr>
            </w:pPr>
            <w:r>
              <w:rPr>
                <w:rFonts w:hint="eastAsia" w:eastAsia="宋体"/>
                <w:color w:val="000000"/>
                <w:sz w:val="22"/>
              </w:rPr>
              <w:t>3</w:t>
            </w:r>
          </w:p>
        </w:tc>
        <w:tc>
          <w:tcPr>
            <w:tcW w:w="1247" w:type="pct"/>
            <w:tcBorders>
              <w:top w:val="single" w:color="auto" w:sz="4" w:space="0"/>
              <w:left w:val="nil"/>
              <w:bottom w:val="single" w:color="auto" w:sz="4" w:space="0"/>
              <w:right w:val="single" w:color="auto" w:sz="4" w:space="0"/>
            </w:tcBorders>
            <w:shd w:val="clear" w:color="auto" w:fill="auto"/>
            <w:vAlign w:val="center"/>
          </w:tcPr>
          <w:p w14:paraId="7BCFD8DB">
            <w:pPr>
              <w:jc w:val="center"/>
              <w:rPr>
                <w:rFonts w:hint="default" w:eastAsia="宋体"/>
                <w:color w:val="000000"/>
                <w:sz w:val="22"/>
                <w:lang w:val="en-US" w:eastAsia="zh-CN"/>
              </w:rPr>
            </w:pPr>
            <w:r>
              <w:rPr>
                <w:rFonts w:hint="eastAsia" w:eastAsia="宋体"/>
                <w:color w:val="000000"/>
                <w:sz w:val="22"/>
              </w:rPr>
              <w:t>ZCB2025-HC43-1</w:t>
            </w:r>
            <w:r>
              <w:rPr>
                <w:rFonts w:hint="eastAsia" w:eastAsia="宋体"/>
                <w:color w:val="000000"/>
                <w:sz w:val="22"/>
                <w:lang w:val="en-US" w:eastAsia="zh-CN"/>
              </w:rPr>
              <w:t>81</w:t>
            </w:r>
          </w:p>
        </w:tc>
        <w:tc>
          <w:tcPr>
            <w:tcW w:w="1744" w:type="pct"/>
            <w:tcBorders>
              <w:top w:val="single" w:color="auto" w:sz="4" w:space="0"/>
              <w:left w:val="nil"/>
              <w:bottom w:val="single" w:color="auto" w:sz="4" w:space="0"/>
              <w:right w:val="single" w:color="auto" w:sz="4" w:space="0"/>
            </w:tcBorders>
            <w:shd w:val="clear" w:color="auto" w:fill="auto"/>
            <w:vAlign w:val="center"/>
          </w:tcPr>
          <w:p w14:paraId="32ED5247">
            <w:pPr>
              <w:jc w:val="center"/>
              <w:rPr>
                <w:rFonts w:hint="eastAsia" w:eastAsia="宋体"/>
                <w:color w:val="000000"/>
                <w:sz w:val="22"/>
                <w:lang w:val="en-US" w:eastAsia="zh-CN"/>
              </w:rPr>
            </w:pPr>
            <w:r>
              <w:rPr>
                <w:rFonts w:hint="eastAsia" w:eastAsia="宋体"/>
                <w:color w:val="000000"/>
                <w:sz w:val="22"/>
                <w:lang w:val="en-US" w:eastAsia="zh-CN"/>
              </w:rPr>
              <w:t>经导管二尖瓣夹系统</w:t>
            </w:r>
          </w:p>
        </w:tc>
        <w:tc>
          <w:tcPr>
            <w:tcW w:w="1006" w:type="pct"/>
            <w:vMerge w:val="continue"/>
            <w:tcBorders>
              <w:left w:val="nil"/>
              <w:right w:val="single" w:color="auto" w:sz="4" w:space="0"/>
            </w:tcBorders>
            <w:shd w:val="clear" w:color="auto" w:fill="auto"/>
            <w:vAlign w:val="center"/>
          </w:tcPr>
          <w:p w14:paraId="743ADA52">
            <w:pPr>
              <w:jc w:val="center"/>
              <w:rPr>
                <w:rFonts w:hint="eastAsia" w:eastAsia="宋体"/>
                <w:color w:val="000000"/>
                <w:sz w:val="22"/>
                <w:lang w:val="en-US" w:eastAsia="zh-CN"/>
              </w:rPr>
            </w:pPr>
          </w:p>
        </w:tc>
        <w:tc>
          <w:tcPr>
            <w:tcW w:w="740" w:type="pct"/>
            <w:vMerge w:val="continue"/>
            <w:tcBorders>
              <w:left w:val="nil"/>
              <w:right w:val="single" w:color="auto" w:sz="4" w:space="0"/>
            </w:tcBorders>
            <w:shd w:val="clear" w:color="auto" w:fill="auto"/>
            <w:vAlign w:val="center"/>
          </w:tcPr>
          <w:p w14:paraId="3BB1423E">
            <w:pPr>
              <w:jc w:val="center"/>
              <w:rPr>
                <w:rFonts w:hint="eastAsia" w:eastAsia="宋体"/>
                <w:color w:val="000000"/>
                <w:sz w:val="22"/>
                <w:lang w:val="en-US" w:eastAsia="zh-CN"/>
              </w:rPr>
            </w:pPr>
          </w:p>
        </w:tc>
      </w:tr>
      <w:tr w14:paraId="7363084C">
        <w:tblPrEx>
          <w:tblCellMar>
            <w:top w:w="0" w:type="dxa"/>
            <w:left w:w="108" w:type="dxa"/>
            <w:bottom w:w="0" w:type="dxa"/>
            <w:right w:w="108" w:type="dxa"/>
          </w:tblCellMar>
        </w:tblPrEx>
        <w:trPr>
          <w:trHeight w:val="398"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jc w:val="center"/>
              <w:rPr>
                <w:rFonts w:hint="eastAsia" w:eastAsia="宋体"/>
                <w:color w:val="000000"/>
                <w:sz w:val="22"/>
              </w:rPr>
            </w:pPr>
            <w:r>
              <w:rPr>
                <w:rFonts w:hint="eastAsia" w:eastAsia="宋体"/>
                <w:color w:val="000000"/>
                <w:sz w:val="22"/>
              </w:rPr>
              <w:t>4</w:t>
            </w:r>
          </w:p>
        </w:tc>
        <w:tc>
          <w:tcPr>
            <w:tcW w:w="1247" w:type="pct"/>
            <w:tcBorders>
              <w:top w:val="single" w:color="auto" w:sz="4" w:space="0"/>
              <w:left w:val="nil"/>
              <w:bottom w:val="single" w:color="auto" w:sz="4" w:space="0"/>
              <w:right w:val="single" w:color="auto" w:sz="4" w:space="0"/>
            </w:tcBorders>
            <w:shd w:val="clear" w:color="auto" w:fill="auto"/>
            <w:vAlign w:val="center"/>
          </w:tcPr>
          <w:p w14:paraId="7C280AD2">
            <w:pPr>
              <w:jc w:val="center"/>
              <w:rPr>
                <w:rFonts w:hint="default" w:eastAsia="宋体"/>
                <w:color w:val="000000"/>
                <w:sz w:val="22"/>
                <w:lang w:val="en-US" w:eastAsia="zh-CN"/>
              </w:rPr>
            </w:pPr>
            <w:r>
              <w:rPr>
                <w:rFonts w:hint="eastAsia" w:eastAsia="宋体"/>
                <w:color w:val="000000"/>
                <w:sz w:val="22"/>
              </w:rPr>
              <w:t>ZCB2025-HC43-1</w:t>
            </w:r>
            <w:r>
              <w:rPr>
                <w:rFonts w:hint="eastAsia" w:eastAsia="宋体"/>
                <w:color w:val="000000"/>
                <w:sz w:val="22"/>
                <w:lang w:val="en-US" w:eastAsia="zh-CN"/>
              </w:rPr>
              <w:t>82</w:t>
            </w:r>
          </w:p>
        </w:tc>
        <w:tc>
          <w:tcPr>
            <w:tcW w:w="1744" w:type="pct"/>
            <w:tcBorders>
              <w:top w:val="single" w:color="auto" w:sz="4" w:space="0"/>
              <w:left w:val="nil"/>
              <w:bottom w:val="single" w:color="auto" w:sz="4" w:space="0"/>
              <w:right w:val="single" w:color="auto" w:sz="4" w:space="0"/>
            </w:tcBorders>
            <w:shd w:val="clear" w:color="auto" w:fill="auto"/>
            <w:vAlign w:val="center"/>
          </w:tcPr>
          <w:p w14:paraId="654907B8">
            <w:pPr>
              <w:jc w:val="center"/>
              <w:rPr>
                <w:rFonts w:hint="eastAsia" w:eastAsia="宋体"/>
                <w:color w:val="000000"/>
                <w:sz w:val="22"/>
                <w:lang w:val="en-US" w:eastAsia="zh-CN"/>
              </w:rPr>
            </w:pPr>
            <w:r>
              <w:rPr>
                <w:rFonts w:hint="eastAsia" w:eastAsia="宋体"/>
                <w:color w:val="000000"/>
                <w:sz w:val="22"/>
                <w:lang w:val="en-US" w:eastAsia="zh-CN"/>
              </w:rPr>
              <w:t>可降解封堵器介入输送系统</w:t>
            </w:r>
          </w:p>
        </w:tc>
        <w:tc>
          <w:tcPr>
            <w:tcW w:w="1006" w:type="pct"/>
            <w:vMerge w:val="continue"/>
            <w:tcBorders>
              <w:left w:val="nil"/>
              <w:right w:val="single" w:color="auto" w:sz="4" w:space="0"/>
            </w:tcBorders>
            <w:shd w:val="clear" w:color="auto" w:fill="auto"/>
            <w:vAlign w:val="center"/>
          </w:tcPr>
          <w:p w14:paraId="71023A76">
            <w:pPr>
              <w:jc w:val="center"/>
              <w:rPr>
                <w:rFonts w:hint="eastAsia" w:eastAsia="宋体"/>
                <w:color w:val="000000"/>
                <w:sz w:val="22"/>
                <w:lang w:val="en-US" w:eastAsia="zh-CN"/>
              </w:rPr>
            </w:pPr>
          </w:p>
        </w:tc>
        <w:tc>
          <w:tcPr>
            <w:tcW w:w="740" w:type="pct"/>
            <w:vMerge w:val="continue"/>
            <w:tcBorders>
              <w:left w:val="nil"/>
              <w:right w:val="single" w:color="auto" w:sz="4" w:space="0"/>
            </w:tcBorders>
            <w:shd w:val="clear" w:color="auto" w:fill="auto"/>
            <w:vAlign w:val="center"/>
          </w:tcPr>
          <w:p w14:paraId="724B5E1A">
            <w:pPr>
              <w:jc w:val="center"/>
              <w:rPr>
                <w:rFonts w:hint="eastAsia" w:eastAsia="宋体"/>
                <w:color w:val="000000"/>
                <w:sz w:val="22"/>
                <w:lang w:val="en-US" w:eastAsia="zh-CN"/>
              </w:rPr>
            </w:pPr>
          </w:p>
        </w:tc>
      </w:tr>
      <w:tr w14:paraId="7E8983E3">
        <w:tblPrEx>
          <w:tblCellMar>
            <w:top w:w="0" w:type="dxa"/>
            <w:left w:w="108" w:type="dxa"/>
            <w:bottom w:w="0" w:type="dxa"/>
            <w:right w:w="108" w:type="dxa"/>
          </w:tblCellMar>
        </w:tblPrEx>
        <w:trPr>
          <w:trHeight w:val="398" w:hRule="atLeast"/>
        </w:trPr>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73B6D302">
            <w:pPr>
              <w:jc w:val="center"/>
              <w:rPr>
                <w:rFonts w:hint="default" w:eastAsia="宋体"/>
                <w:color w:val="000000"/>
                <w:sz w:val="22"/>
                <w:lang w:val="en-US" w:eastAsia="zh-CN"/>
              </w:rPr>
            </w:pPr>
            <w:r>
              <w:rPr>
                <w:rFonts w:hint="eastAsia" w:eastAsia="宋体"/>
                <w:color w:val="000000"/>
                <w:sz w:val="22"/>
                <w:lang w:val="en-US" w:eastAsia="zh-CN"/>
              </w:rPr>
              <w:t>5</w:t>
            </w:r>
          </w:p>
        </w:tc>
        <w:tc>
          <w:tcPr>
            <w:tcW w:w="1247" w:type="pct"/>
            <w:tcBorders>
              <w:top w:val="single" w:color="auto" w:sz="4" w:space="0"/>
              <w:left w:val="nil"/>
              <w:bottom w:val="single" w:color="auto" w:sz="4" w:space="0"/>
              <w:right w:val="single" w:color="auto" w:sz="4" w:space="0"/>
            </w:tcBorders>
            <w:shd w:val="clear" w:color="auto" w:fill="auto"/>
            <w:vAlign w:val="center"/>
          </w:tcPr>
          <w:p w14:paraId="4B648C89">
            <w:pPr>
              <w:jc w:val="center"/>
              <w:rPr>
                <w:rFonts w:hint="default" w:eastAsia="宋体"/>
                <w:color w:val="000000"/>
                <w:sz w:val="22"/>
                <w:lang w:val="en-US"/>
              </w:rPr>
            </w:pPr>
            <w:r>
              <w:rPr>
                <w:rFonts w:hint="eastAsia" w:eastAsia="宋体"/>
                <w:color w:val="000000"/>
                <w:sz w:val="22"/>
              </w:rPr>
              <w:t>ZCB2025-HC43-1</w:t>
            </w:r>
            <w:r>
              <w:rPr>
                <w:rFonts w:hint="eastAsia" w:eastAsia="宋体"/>
                <w:color w:val="000000"/>
                <w:sz w:val="22"/>
                <w:lang w:val="en-US" w:eastAsia="zh-CN"/>
              </w:rPr>
              <w:t>83</w:t>
            </w:r>
          </w:p>
        </w:tc>
        <w:tc>
          <w:tcPr>
            <w:tcW w:w="1744" w:type="pct"/>
            <w:tcBorders>
              <w:top w:val="single" w:color="auto" w:sz="4" w:space="0"/>
              <w:left w:val="nil"/>
              <w:bottom w:val="single" w:color="auto" w:sz="4" w:space="0"/>
              <w:right w:val="single" w:color="auto" w:sz="4" w:space="0"/>
            </w:tcBorders>
            <w:shd w:val="clear" w:color="auto" w:fill="auto"/>
            <w:vAlign w:val="center"/>
          </w:tcPr>
          <w:p w14:paraId="36611C10">
            <w:pPr>
              <w:jc w:val="center"/>
              <w:rPr>
                <w:rFonts w:hint="eastAsia" w:eastAsia="宋体"/>
                <w:color w:val="000000"/>
                <w:sz w:val="22"/>
                <w:lang w:val="en-US" w:eastAsia="zh-CN"/>
              </w:rPr>
            </w:pPr>
            <w:r>
              <w:rPr>
                <w:rFonts w:hint="eastAsia" w:eastAsia="宋体"/>
                <w:color w:val="000000"/>
                <w:sz w:val="22"/>
                <w:lang w:val="en-US" w:eastAsia="zh-CN"/>
              </w:rPr>
              <w:t>经导管主动脉瓣膜系统</w:t>
            </w:r>
          </w:p>
        </w:tc>
        <w:tc>
          <w:tcPr>
            <w:tcW w:w="1006" w:type="pct"/>
            <w:vMerge w:val="continue"/>
            <w:tcBorders>
              <w:left w:val="nil"/>
              <w:bottom w:val="single" w:color="auto" w:sz="4" w:space="0"/>
              <w:right w:val="single" w:color="auto" w:sz="4" w:space="0"/>
            </w:tcBorders>
            <w:shd w:val="clear" w:color="auto" w:fill="auto"/>
            <w:vAlign w:val="center"/>
          </w:tcPr>
          <w:p w14:paraId="3166D847">
            <w:pPr>
              <w:jc w:val="center"/>
              <w:rPr>
                <w:rFonts w:hint="eastAsia" w:eastAsia="宋体"/>
                <w:color w:val="000000"/>
                <w:sz w:val="22"/>
                <w:lang w:val="en-US" w:eastAsia="zh-CN"/>
              </w:rPr>
            </w:pPr>
          </w:p>
        </w:tc>
        <w:tc>
          <w:tcPr>
            <w:tcW w:w="740" w:type="pct"/>
            <w:vMerge w:val="continue"/>
            <w:tcBorders>
              <w:left w:val="nil"/>
              <w:bottom w:val="single" w:color="auto" w:sz="4" w:space="0"/>
              <w:right w:val="single" w:color="auto" w:sz="4" w:space="0"/>
            </w:tcBorders>
            <w:shd w:val="clear" w:color="auto" w:fill="auto"/>
            <w:vAlign w:val="center"/>
          </w:tcPr>
          <w:p w14:paraId="48C54144">
            <w:pPr>
              <w:jc w:val="center"/>
              <w:rPr>
                <w:rFonts w:hint="eastAsia" w:eastAsia="宋体"/>
                <w:color w:val="000000"/>
                <w:sz w:val="22"/>
                <w:lang w:val="en-US" w:eastAsia="zh-CN"/>
              </w:rPr>
            </w:pPr>
          </w:p>
        </w:tc>
      </w:tr>
    </w:tbl>
    <w:p w14:paraId="19C7FBB5">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第43期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第43期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2" w:firstLineChars="200"/>
        <w:rPr>
          <w:rFonts w:hint="eastAsia" w:ascii="宋体" w:hAnsi="宋体" w:eastAsia="宋体" w:cs="宋体"/>
          <w:b/>
          <w:bCs/>
          <w:color w:val="000000"/>
          <w:sz w:val="21"/>
          <w:szCs w:val="21"/>
          <w:highlight w:val="cyan"/>
          <w:u w:val="single"/>
          <w:lang w:val="en-US" w:eastAsia="zh-CN"/>
        </w:rPr>
      </w:pPr>
      <w:r>
        <w:rPr>
          <w:rFonts w:hint="eastAsia" w:ascii="宋体" w:hAnsi="宋体" w:eastAsia="宋体" w:cs="宋体"/>
          <w:b/>
          <w:bCs/>
          <w:color w:val="000000"/>
          <w:sz w:val="21"/>
          <w:szCs w:val="21"/>
          <w:highlight w:val="cyan"/>
          <w:u w:val="single"/>
          <w:lang w:val="en-US" w:eastAsia="zh-CN"/>
        </w:rPr>
        <w:t>（一）报名时间：自公告发布之日起至8月19日17:00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8DD333E">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w:t>
      </w:r>
      <w:r>
        <w:rPr>
          <w:rFonts w:hint="eastAsia" w:ascii="Tahoma" w:hAnsi="Tahoma" w:cs="宋体"/>
          <w:kern w:val="0"/>
          <w:szCs w:val="21"/>
          <w:highlight w:val="none"/>
          <w:lang w:val="en-US" w:eastAsia="zh-CN"/>
        </w:rPr>
        <w:t>报名后等通知，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u w:val="single"/>
          <w:lang w:eastAsia="zh-CN"/>
        </w:rPr>
        <w:t>2025</w:t>
      </w:r>
      <w:r>
        <w:rPr>
          <w:rFonts w:hint="eastAsia" w:ascii="宋体" w:hAnsi="宋体" w:eastAsia="宋体" w:cs="宋体"/>
          <w:b/>
          <w:bCs/>
          <w:color w:val="000000"/>
          <w:sz w:val="20"/>
          <w:szCs w:val="20"/>
          <w:highlight w:val="cyan"/>
          <w:u w:val="single"/>
        </w:rPr>
        <w:t>年</w:t>
      </w:r>
      <w:r>
        <w:rPr>
          <w:rFonts w:hint="eastAsia" w:ascii="宋体" w:hAnsi="宋体" w:eastAsia="宋体" w:cs="宋体"/>
          <w:b/>
          <w:bCs/>
          <w:color w:val="000000"/>
          <w:sz w:val="20"/>
          <w:szCs w:val="20"/>
          <w:highlight w:val="cyan"/>
          <w:u w:val="single"/>
          <w:lang w:val="en-US" w:eastAsia="zh-CN"/>
        </w:rPr>
        <w:t>8</w:t>
      </w:r>
      <w:r>
        <w:rPr>
          <w:rFonts w:hint="eastAsia" w:ascii="宋体" w:hAnsi="宋体" w:eastAsia="宋体" w:cs="宋体"/>
          <w:b/>
          <w:bCs/>
          <w:color w:val="000000"/>
          <w:sz w:val="20"/>
          <w:szCs w:val="20"/>
          <w:highlight w:val="cyan"/>
          <w:u w:val="single"/>
        </w:rPr>
        <w:t>月</w:t>
      </w:r>
      <w:r>
        <w:rPr>
          <w:rFonts w:hint="eastAsia" w:ascii="宋体" w:hAnsi="宋体" w:eastAsia="宋体" w:cs="宋体"/>
          <w:b/>
          <w:bCs/>
          <w:color w:val="000000"/>
          <w:sz w:val="20"/>
          <w:szCs w:val="20"/>
          <w:highlight w:val="cyan"/>
          <w:u w:val="single"/>
          <w:lang w:val="en-US" w:eastAsia="zh-CN"/>
        </w:rPr>
        <w:t>28</w:t>
      </w:r>
      <w:r>
        <w:rPr>
          <w:rFonts w:hint="eastAsia" w:ascii="宋体" w:hAnsi="宋体" w:eastAsia="宋体" w:cs="宋体"/>
          <w:b/>
          <w:bCs/>
          <w:color w:val="000000"/>
          <w:sz w:val="20"/>
          <w:szCs w:val="20"/>
          <w:highlight w:val="cyan"/>
          <w:u w:val="single"/>
        </w:rPr>
        <w:t>日</w:t>
      </w:r>
      <w:r>
        <w:rPr>
          <w:rFonts w:hint="eastAsia" w:ascii="宋体" w:hAnsi="宋体" w:eastAsia="宋体" w:cs="宋体"/>
          <w:b/>
          <w:bCs/>
          <w:color w:val="000000"/>
          <w:sz w:val="20"/>
          <w:szCs w:val="20"/>
          <w:highlight w:val="cyan"/>
          <w:u w:val="single"/>
          <w:lang w:val="en-US" w:eastAsia="zh-CN"/>
        </w:rPr>
        <w:t>14</w:t>
      </w:r>
      <w:r>
        <w:rPr>
          <w:rFonts w:hint="eastAsia" w:ascii="宋体" w:hAnsi="宋体" w:eastAsia="宋体" w:cs="宋体"/>
          <w:b/>
          <w:bCs/>
          <w:color w:val="000000"/>
          <w:sz w:val="20"/>
          <w:szCs w:val="20"/>
          <w:highlight w:val="cyan"/>
          <w:u w:val="single"/>
        </w:rPr>
        <w:t>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13</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19</w:t>
      </w:r>
      <w:r>
        <w:rPr>
          <w:rFonts w:hint="eastAsia" w:ascii="Tahoma" w:hAnsi="Tahoma" w:eastAsia="宋体" w:cs="宋体"/>
          <w:kern w:val="0"/>
          <w:szCs w:val="21"/>
          <w:highlight w:val="cyan"/>
        </w:rPr>
        <w:t>日</w:t>
      </w:r>
      <w:r>
        <w:rPr>
          <w:rFonts w:hint="eastAsia" w:ascii="Tahoma" w:hAnsi="Tahoma" w:eastAsia="宋体" w:cs="宋体"/>
          <w:kern w:val="0"/>
          <w:szCs w:val="21"/>
          <w:highlight w:val="cyan"/>
          <w:lang w:val="en-US" w:eastAsia="zh-CN"/>
        </w:rPr>
        <w:t>17</w:t>
      </w:r>
      <w:r>
        <w:rPr>
          <w:rFonts w:hint="eastAsia" w:ascii="Tahoma" w:hAnsi="Tahoma" w:eastAsia="宋体" w:cs="宋体"/>
          <w:kern w:val="0"/>
          <w:szCs w:val="21"/>
          <w:highlight w:val="cyan"/>
        </w:rPr>
        <w:t>:00，自本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362" w:tblpY="662"/>
        <w:tblOverlap w:val="never"/>
        <w:tblW w:w="11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50"/>
        <w:gridCol w:w="716"/>
        <w:gridCol w:w="1096"/>
        <w:gridCol w:w="1085"/>
        <w:gridCol w:w="2588"/>
        <w:gridCol w:w="689"/>
        <w:gridCol w:w="865"/>
        <w:gridCol w:w="554"/>
        <w:gridCol w:w="688"/>
        <w:gridCol w:w="1862"/>
      </w:tblGrid>
      <w:tr w14:paraId="2883A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3A139DA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序号</w:t>
            </w:r>
          </w:p>
        </w:tc>
        <w:tc>
          <w:tcPr>
            <w:tcW w:w="850" w:type="dxa"/>
            <w:vAlign w:val="center"/>
          </w:tcPr>
          <w:p w14:paraId="7FEF953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采购文件编号</w:t>
            </w:r>
          </w:p>
        </w:tc>
        <w:tc>
          <w:tcPr>
            <w:tcW w:w="716" w:type="dxa"/>
            <w:vAlign w:val="center"/>
          </w:tcPr>
          <w:p w14:paraId="055027B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采购项目名称</w:t>
            </w:r>
          </w:p>
        </w:tc>
        <w:tc>
          <w:tcPr>
            <w:tcW w:w="1096" w:type="dxa"/>
            <w:vAlign w:val="center"/>
          </w:tcPr>
          <w:p w14:paraId="6B8085B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耗材名称（仅供参考）</w:t>
            </w:r>
          </w:p>
        </w:tc>
        <w:tc>
          <w:tcPr>
            <w:tcW w:w="1085" w:type="dxa"/>
            <w:vAlign w:val="center"/>
          </w:tcPr>
          <w:p w14:paraId="68DD0B87">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2588" w:type="dxa"/>
            <w:vAlign w:val="center"/>
          </w:tcPr>
          <w:p w14:paraId="3CE0269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技术要求</w:t>
            </w:r>
          </w:p>
        </w:tc>
        <w:tc>
          <w:tcPr>
            <w:tcW w:w="689" w:type="dxa"/>
            <w:vAlign w:val="center"/>
          </w:tcPr>
          <w:p w14:paraId="069AC2C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允许进口/国产</w:t>
            </w:r>
          </w:p>
        </w:tc>
        <w:tc>
          <w:tcPr>
            <w:tcW w:w="865" w:type="dxa"/>
            <w:vAlign w:val="center"/>
          </w:tcPr>
          <w:p w14:paraId="302ECAA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554" w:type="dxa"/>
          </w:tcPr>
          <w:p w14:paraId="555F0F8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使用科室</w:t>
            </w:r>
          </w:p>
        </w:tc>
        <w:tc>
          <w:tcPr>
            <w:tcW w:w="688" w:type="dxa"/>
          </w:tcPr>
          <w:p w14:paraId="6EA75E6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c>
          <w:tcPr>
            <w:tcW w:w="1862" w:type="dxa"/>
          </w:tcPr>
          <w:p w14:paraId="5D318DB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08D0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restart"/>
            <w:vAlign w:val="center"/>
          </w:tcPr>
          <w:p w14:paraId="283BCCC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850" w:type="dxa"/>
            <w:vMerge w:val="restart"/>
            <w:vAlign w:val="center"/>
          </w:tcPr>
          <w:p w14:paraId="63EB1DF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ZCB2025-HC43-179</w:t>
            </w:r>
          </w:p>
        </w:tc>
        <w:tc>
          <w:tcPr>
            <w:tcW w:w="716" w:type="dxa"/>
            <w:vMerge w:val="restart"/>
            <w:vAlign w:val="center"/>
          </w:tcPr>
          <w:p w14:paraId="6EFBEDC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包内敷料</w:t>
            </w:r>
          </w:p>
        </w:tc>
        <w:tc>
          <w:tcPr>
            <w:tcW w:w="1096" w:type="dxa"/>
            <w:shd w:val="clear" w:color="auto" w:fill="auto"/>
            <w:vAlign w:val="center"/>
          </w:tcPr>
          <w:p w14:paraId="313E7E0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医用脱脂纱布块</w:t>
            </w:r>
          </w:p>
        </w:tc>
        <w:tc>
          <w:tcPr>
            <w:tcW w:w="1085" w:type="dxa"/>
            <w:vAlign w:val="center"/>
          </w:tcPr>
          <w:p w14:paraId="28B6956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20</w:t>
            </w:r>
          </w:p>
        </w:tc>
        <w:tc>
          <w:tcPr>
            <w:tcW w:w="2588" w:type="dxa"/>
            <w:vAlign w:val="center"/>
          </w:tcPr>
          <w:p w14:paraId="1A1A98C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供临床护创、吸湿用</w:t>
            </w:r>
          </w:p>
        </w:tc>
        <w:tc>
          <w:tcPr>
            <w:tcW w:w="689" w:type="dxa"/>
            <w:vMerge w:val="restart"/>
            <w:vAlign w:val="center"/>
          </w:tcPr>
          <w:p w14:paraId="402E08E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Merge w:val="restart"/>
            <w:vAlign w:val="center"/>
          </w:tcPr>
          <w:p w14:paraId="5C808D3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vMerge w:val="restart"/>
            <w:shd w:val="clear" w:color="auto" w:fill="auto"/>
            <w:vAlign w:val="center"/>
          </w:tcPr>
          <w:p w14:paraId="36E6B01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消毒供应中心</w:t>
            </w:r>
          </w:p>
          <w:p w14:paraId="6ED867DF">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p>
        </w:tc>
        <w:tc>
          <w:tcPr>
            <w:tcW w:w="688" w:type="dxa"/>
            <w:vMerge w:val="restart"/>
            <w:vAlign w:val="top"/>
          </w:tcPr>
          <w:p w14:paraId="73835BF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协议到期</w:t>
            </w:r>
          </w:p>
        </w:tc>
        <w:tc>
          <w:tcPr>
            <w:tcW w:w="1862" w:type="dxa"/>
            <w:vMerge w:val="restart"/>
            <w:vAlign w:val="top"/>
          </w:tcPr>
          <w:p w14:paraId="6466CC6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开标时请携带医用脱脂纱布块、医用石蜡棉球、一次性医用棉片的样品，此样品为综合评分的一部分，其他品规样品适当携带包含各个系列产品</w:t>
            </w:r>
          </w:p>
        </w:tc>
      </w:tr>
      <w:tr w14:paraId="5784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5F13461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40D09F9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5AE5626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70F4BE7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脱脂棉球</w:t>
            </w:r>
          </w:p>
        </w:tc>
        <w:tc>
          <w:tcPr>
            <w:tcW w:w="1085" w:type="dxa"/>
            <w:vAlign w:val="center"/>
          </w:tcPr>
          <w:p w14:paraId="5E1AB4E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16</w:t>
            </w:r>
          </w:p>
        </w:tc>
        <w:tc>
          <w:tcPr>
            <w:tcW w:w="2588" w:type="dxa"/>
            <w:vAlign w:val="center"/>
          </w:tcPr>
          <w:p w14:paraId="2E6656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用于对手术或穿刺部位的皮肤、机械创伤及器械的局部涂抹消毒剂</w:t>
            </w:r>
          </w:p>
        </w:tc>
        <w:tc>
          <w:tcPr>
            <w:tcW w:w="689" w:type="dxa"/>
            <w:vMerge w:val="continue"/>
            <w:vAlign w:val="center"/>
          </w:tcPr>
          <w:p w14:paraId="3980B945">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24EED8E2">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shd w:val="clear" w:color="auto" w:fill="auto"/>
            <w:vAlign w:val="center"/>
          </w:tcPr>
          <w:p w14:paraId="2AD51DBB">
            <w:pPr>
              <w:jc w:val="center"/>
              <w:rPr>
                <w:rFonts w:hint="default" w:ascii="Times New Roman" w:hAnsi="Times New Roman" w:eastAsia="宋体" w:cs="Times New Roman"/>
                <w:color w:val="000000"/>
                <w:kern w:val="2"/>
                <w:sz w:val="22"/>
                <w:szCs w:val="24"/>
                <w:lang w:val="en-US" w:eastAsia="zh-CN" w:bidi="ar-SA"/>
              </w:rPr>
            </w:pPr>
          </w:p>
        </w:tc>
        <w:tc>
          <w:tcPr>
            <w:tcW w:w="688" w:type="dxa"/>
            <w:vMerge w:val="continue"/>
            <w:vAlign w:val="top"/>
          </w:tcPr>
          <w:p w14:paraId="0F065627">
            <w:pPr>
              <w:jc w:val="center"/>
              <w:rPr>
                <w:rFonts w:hint="default" w:ascii="Times New Roman" w:hAnsi="Times New Roman" w:eastAsia="宋体" w:cs="Times New Roman"/>
                <w:color w:val="000000"/>
                <w:kern w:val="2"/>
                <w:sz w:val="22"/>
                <w:szCs w:val="24"/>
                <w:lang w:val="en-US" w:eastAsia="zh-CN" w:bidi="ar-SA"/>
              </w:rPr>
            </w:pPr>
          </w:p>
        </w:tc>
        <w:tc>
          <w:tcPr>
            <w:tcW w:w="1862" w:type="dxa"/>
            <w:vMerge w:val="continue"/>
            <w:vAlign w:val="top"/>
          </w:tcPr>
          <w:p w14:paraId="1601C95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1C0F8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2AA5E94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36105D7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706D0C1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06A8AD0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医用显影纱布块</w:t>
            </w:r>
          </w:p>
        </w:tc>
        <w:tc>
          <w:tcPr>
            <w:tcW w:w="1085" w:type="dxa"/>
            <w:vAlign w:val="center"/>
          </w:tcPr>
          <w:p w14:paraId="7392F1D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0.37</w:t>
            </w:r>
          </w:p>
        </w:tc>
        <w:tc>
          <w:tcPr>
            <w:tcW w:w="2588" w:type="dxa"/>
            <w:vAlign w:val="center"/>
          </w:tcPr>
          <w:p w14:paraId="0702D25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由脱脂棉纱布和X光可检测钡线（片）加工而成本，分无菌和非无菌两种形式。无菌形式供应的纱布块经环氧乙烷灭菌后应无菌，经环氧乙烷灭菌后，环氧乙烷残留量应不大于10mg/kg。一次性使用</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适用临床护创、吸湿用</w:t>
            </w:r>
          </w:p>
        </w:tc>
        <w:tc>
          <w:tcPr>
            <w:tcW w:w="689" w:type="dxa"/>
            <w:vMerge w:val="continue"/>
            <w:vAlign w:val="center"/>
          </w:tcPr>
          <w:p w14:paraId="49C9BA41">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03F5BE1C">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70838C69">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35B87301">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557F866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77F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3A1B38D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53CECC4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0E51B14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676A110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纱布绷带</w:t>
            </w:r>
          </w:p>
        </w:tc>
        <w:tc>
          <w:tcPr>
            <w:tcW w:w="1085" w:type="dxa"/>
            <w:vAlign w:val="center"/>
          </w:tcPr>
          <w:p w14:paraId="6C8C086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13.3</w:t>
            </w:r>
          </w:p>
        </w:tc>
        <w:tc>
          <w:tcPr>
            <w:tcW w:w="2588" w:type="dxa"/>
            <w:vAlign w:val="center"/>
          </w:tcPr>
          <w:p w14:paraId="50AD84E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由脱脂棉纱布打卷切割制成，用于对创面敷料或肢体提供束缚力，以起到包扎、固定作用。</w:t>
            </w:r>
          </w:p>
        </w:tc>
        <w:tc>
          <w:tcPr>
            <w:tcW w:w="689" w:type="dxa"/>
            <w:vMerge w:val="continue"/>
            <w:vAlign w:val="center"/>
          </w:tcPr>
          <w:p w14:paraId="36E08481">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567B0393">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1A8BFAED">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09307459">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19794F3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339D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7ED978E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55A7DDA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32B6D3F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27BBB10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医用棉垫</w:t>
            </w:r>
          </w:p>
        </w:tc>
        <w:tc>
          <w:tcPr>
            <w:tcW w:w="1085" w:type="dxa"/>
            <w:vAlign w:val="center"/>
          </w:tcPr>
          <w:p w14:paraId="73A8C2E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9</w:t>
            </w:r>
          </w:p>
        </w:tc>
        <w:tc>
          <w:tcPr>
            <w:tcW w:w="2588" w:type="dxa"/>
            <w:vAlign w:val="center"/>
          </w:tcPr>
          <w:p w14:paraId="095A702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供临床护创、吸湿用</w:t>
            </w:r>
          </w:p>
        </w:tc>
        <w:tc>
          <w:tcPr>
            <w:tcW w:w="689" w:type="dxa"/>
            <w:vMerge w:val="continue"/>
            <w:vAlign w:val="center"/>
          </w:tcPr>
          <w:p w14:paraId="3476C3AC">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11770B21">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7BD9C1D8">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0C5D2EE1">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46CA720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EEB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1CB8FD3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11CACC8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083768B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769F602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医用脱脂纱布垫</w:t>
            </w:r>
          </w:p>
        </w:tc>
        <w:tc>
          <w:tcPr>
            <w:tcW w:w="1085" w:type="dxa"/>
            <w:vAlign w:val="center"/>
          </w:tcPr>
          <w:p w14:paraId="5179A10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4.4</w:t>
            </w:r>
          </w:p>
        </w:tc>
        <w:tc>
          <w:tcPr>
            <w:tcW w:w="2588" w:type="dxa"/>
            <w:vAlign w:val="center"/>
          </w:tcPr>
          <w:p w14:paraId="623A2E8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普通型由脱脂棉纱布加工而成；显影型由含有X光钡线的脱脂棉纱布加工而成。供临床护创、吸湿用</w:t>
            </w:r>
          </w:p>
        </w:tc>
        <w:tc>
          <w:tcPr>
            <w:tcW w:w="689" w:type="dxa"/>
            <w:vMerge w:val="continue"/>
            <w:vAlign w:val="center"/>
          </w:tcPr>
          <w:p w14:paraId="09E568BA">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0AC5974D">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207AD2C1">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0E2310D9">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2C5AE04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6FB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5F4044E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0032EDD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63C220C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56E3AC3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医用棉球</w:t>
            </w:r>
          </w:p>
        </w:tc>
        <w:tc>
          <w:tcPr>
            <w:tcW w:w="1085" w:type="dxa"/>
            <w:vAlign w:val="center"/>
          </w:tcPr>
          <w:p w14:paraId="280ADBE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0.43</w:t>
            </w:r>
          </w:p>
        </w:tc>
        <w:tc>
          <w:tcPr>
            <w:tcW w:w="2588" w:type="dxa"/>
            <w:vAlign w:val="center"/>
          </w:tcPr>
          <w:p w14:paraId="6CD2064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本用于医疗机构皮肤消毒时使用。</w:t>
            </w:r>
          </w:p>
        </w:tc>
        <w:tc>
          <w:tcPr>
            <w:tcW w:w="689" w:type="dxa"/>
            <w:vMerge w:val="continue"/>
            <w:vAlign w:val="center"/>
          </w:tcPr>
          <w:p w14:paraId="68F492CA">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48296A9B">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0B584811">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1326A6F7">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6A212CB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32C9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30D3FB3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57779FA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262CD9C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736182B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医用石蜡棉球</w:t>
            </w:r>
          </w:p>
        </w:tc>
        <w:tc>
          <w:tcPr>
            <w:tcW w:w="1085" w:type="dxa"/>
            <w:vAlign w:val="center"/>
          </w:tcPr>
          <w:p w14:paraId="0264B84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0.6</w:t>
            </w:r>
          </w:p>
        </w:tc>
        <w:tc>
          <w:tcPr>
            <w:tcW w:w="2588" w:type="dxa"/>
            <w:vAlign w:val="center"/>
          </w:tcPr>
          <w:p w14:paraId="235140F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由棉球在液体石蜡中浸泡而成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用于医疗器械表面润滑。</w:t>
            </w:r>
          </w:p>
        </w:tc>
        <w:tc>
          <w:tcPr>
            <w:tcW w:w="689" w:type="dxa"/>
            <w:vMerge w:val="continue"/>
            <w:vAlign w:val="center"/>
          </w:tcPr>
          <w:p w14:paraId="7344FA47">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0CDC6C97">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385239AE">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57B90A6D">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4DA9E19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BB2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6A73000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346AAE4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57A82C9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3D497FC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一次性医用棉片</w:t>
            </w:r>
          </w:p>
        </w:tc>
        <w:tc>
          <w:tcPr>
            <w:tcW w:w="1085" w:type="dxa"/>
            <w:vAlign w:val="center"/>
          </w:tcPr>
          <w:p w14:paraId="6D74276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0.23</w:t>
            </w:r>
          </w:p>
        </w:tc>
        <w:tc>
          <w:tcPr>
            <w:tcW w:w="2588" w:type="dxa"/>
            <w:vAlign w:val="center"/>
          </w:tcPr>
          <w:p w14:paraId="66E5E88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由医用脱脂棉加工制成。经环氧乙烷灭菌后，环氧乙烷残留量应不大于10μg/g。一次性使用。供临床护创、吸湿用。</w:t>
            </w:r>
          </w:p>
        </w:tc>
        <w:tc>
          <w:tcPr>
            <w:tcW w:w="689" w:type="dxa"/>
            <w:vMerge w:val="continue"/>
            <w:vAlign w:val="center"/>
          </w:tcPr>
          <w:p w14:paraId="29ED0E72">
            <w:pPr>
              <w:widowControl/>
              <w:jc w:val="center"/>
              <w:rPr>
                <w:rFonts w:hint="eastAsia" w:asciiTheme="majorEastAsia" w:hAnsiTheme="majorEastAsia" w:eastAsiaTheme="majorEastAsia" w:cstheme="majorEastAsia"/>
                <w:kern w:val="0"/>
                <w:sz w:val="20"/>
                <w:szCs w:val="20"/>
                <w:lang w:val="en-US" w:eastAsia="zh-CN"/>
              </w:rPr>
            </w:pPr>
          </w:p>
        </w:tc>
        <w:tc>
          <w:tcPr>
            <w:tcW w:w="865" w:type="dxa"/>
            <w:vMerge w:val="continue"/>
            <w:vAlign w:val="center"/>
          </w:tcPr>
          <w:p w14:paraId="0C04CDFC">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55B6BF9E">
            <w:pPr>
              <w:widowControl/>
              <w:jc w:val="both"/>
              <w:rPr>
                <w:rFonts w:hint="default" w:asciiTheme="majorEastAsia" w:hAnsiTheme="majorEastAsia" w:eastAsiaTheme="majorEastAsia" w:cstheme="majorEastAsia"/>
                <w:kern w:val="0"/>
                <w:sz w:val="20"/>
                <w:szCs w:val="20"/>
                <w:lang w:val="en-US" w:eastAsia="zh-CN"/>
              </w:rPr>
            </w:pPr>
          </w:p>
        </w:tc>
        <w:tc>
          <w:tcPr>
            <w:tcW w:w="688" w:type="dxa"/>
            <w:vMerge w:val="continue"/>
            <w:vAlign w:val="top"/>
          </w:tcPr>
          <w:p w14:paraId="2A36FE8F">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662BF77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8D9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01CECD1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850" w:type="dxa"/>
            <w:vAlign w:val="center"/>
          </w:tcPr>
          <w:p w14:paraId="23BB772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ZCB2025-HC43-180</w:t>
            </w:r>
          </w:p>
        </w:tc>
        <w:tc>
          <w:tcPr>
            <w:tcW w:w="716" w:type="dxa"/>
            <w:vAlign w:val="center"/>
          </w:tcPr>
          <w:p w14:paraId="7AE522F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肺动脉取栓支架系统</w:t>
            </w:r>
          </w:p>
        </w:tc>
        <w:tc>
          <w:tcPr>
            <w:tcW w:w="1096" w:type="dxa"/>
            <w:vAlign w:val="center"/>
          </w:tcPr>
          <w:p w14:paraId="2A6DECD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肺动脉取栓支架系统</w:t>
            </w:r>
          </w:p>
        </w:tc>
        <w:tc>
          <w:tcPr>
            <w:tcW w:w="1085" w:type="dxa"/>
            <w:vAlign w:val="center"/>
          </w:tcPr>
          <w:p w14:paraId="6AF429E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29600</w:t>
            </w:r>
          </w:p>
        </w:tc>
        <w:tc>
          <w:tcPr>
            <w:tcW w:w="2588" w:type="dxa"/>
            <w:vAlign w:val="top"/>
          </w:tcPr>
          <w:p w14:paraId="364E85E3">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1.用于急性高危肺栓塞或伴临床恶化的中危肺栓塞的经导管血栓清除治疗；</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2.产品主要由肺动脉取栓支架和血栓抽吸导管两部分组成。其中肺动脉取栓支架由输送鞘管和连有自膨式网篮结构的推送管同轴组装而成；血栓抽吸导管由抽吸导管、导管芯和抽吸器组成；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3.多种规格型号可选，取栓网篮外径不小于12mm，不大于28mm，</w:t>
            </w:r>
            <w:r>
              <w:rPr>
                <w:rFonts w:hint="default" w:asciiTheme="majorEastAsia" w:hAnsiTheme="majorEastAsia" w:eastAsiaTheme="majorEastAsia" w:cstheme="majorEastAsia"/>
                <w:i w:val="0"/>
                <w:iCs w:val="0"/>
                <w:color w:val="000000"/>
                <w:kern w:val="0"/>
                <w:sz w:val="20"/>
                <w:szCs w:val="20"/>
                <w:u w:val="none"/>
                <w:lang w:val="en-US" w:eastAsia="zh-CN" w:bidi="ar"/>
              </w:rPr>
              <w:t>输送鞘管外径；4.0mm±0.5mm</w:t>
            </w:r>
            <w:r>
              <w:rPr>
                <w:rFonts w:hint="eastAsia" w:asciiTheme="majorEastAsia" w:hAnsiTheme="majorEastAsia" w:eastAsiaTheme="majorEastAsia" w:cstheme="majorEastAsia"/>
                <w:i w:val="0"/>
                <w:iCs w:val="0"/>
                <w:color w:val="000000"/>
                <w:kern w:val="0"/>
                <w:sz w:val="20"/>
                <w:szCs w:val="20"/>
                <w:u w:val="none"/>
                <w:lang w:val="en-US" w:eastAsia="zh-CN" w:bidi="ar"/>
              </w:rPr>
              <w:t>；血栓抽吸导管外径5.2mm-7.8mm，导管有效长度不小于</w:t>
            </w:r>
            <w:r>
              <w:rPr>
                <w:rFonts w:hint="default" w:asciiTheme="majorEastAsia" w:hAnsiTheme="majorEastAsia" w:eastAsiaTheme="majorEastAsia" w:cstheme="majorEastAsia"/>
                <w:i w:val="0"/>
                <w:iCs w:val="0"/>
                <w:color w:val="000000"/>
                <w:kern w:val="0"/>
                <w:sz w:val="20"/>
                <w:szCs w:val="20"/>
                <w:u w:val="none"/>
                <w:lang w:val="en-US" w:eastAsia="zh-CN" w:bidi="ar"/>
              </w:rPr>
              <w:t>900mm±5mm</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4.产品灭菌提供，一次性使用，货架有效期不小于三年。</w:t>
            </w:r>
          </w:p>
        </w:tc>
        <w:tc>
          <w:tcPr>
            <w:tcW w:w="689" w:type="dxa"/>
            <w:vAlign w:val="center"/>
          </w:tcPr>
          <w:p w14:paraId="32036AC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0EAF05A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4D54F5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688" w:type="dxa"/>
            <w:vAlign w:val="top"/>
          </w:tcPr>
          <w:p w14:paraId="5827DDB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5DF2EB9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开标时请携带适用于11-14mm、15-18mm血管的支架以及16-20F的抽吸导管，此样品为综合评分的一部分，其他品规样品适当携带包含各个系列产品</w:t>
            </w:r>
          </w:p>
        </w:tc>
      </w:tr>
      <w:tr w14:paraId="59E7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4880EFC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850" w:type="dxa"/>
            <w:vAlign w:val="center"/>
          </w:tcPr>
          <w:p w14:paraId="3315C85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ZCB2025-HC43-181</w:t>
            </w:r>
          </w:p>
        </w:tc>
        <w:tc>
          <w:tcPr>
            <w:tcW w:w="716" w:type="dxa"/>
            <w:vAlign w:val="center"/>
          </w:tcPr>
          <w:p w14:paraId="574C7E9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经导管二尖瓣夹系统</w:t>
            </w:r>
          </w:p>
        </w:tc>
        <w:tc>
          <w:tcPr>
            <w:tcW w:w="1096" w:type="dxa"/>
            <w:vAlign w:val="center"/>
          </w:tcPr>
          <w:p w14:paraId="763925C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经导管二尖瓣夹系统</w:t>
            </w:r>
          </w:p>
        </w:tc>
        <w:tc>
          <w:tcPr>
            <w:tcW w:w="1085" w:type="dxa"/>
            <w:vAlign w:val="center"/>
          </w:tcPr>
          <w:p w14:paraId="114EE42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198000</w:t>
            </w:r>
          </w:p>
        </w:tc>
        <w:tc>
          <w:tcPr>
            <w:tcW w:w="2588" w:type="dxa"/>
            <w:vAlign w:val="center"/>
          </w:tcPr>
          <w:p w14:paraId="1AAA0719">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1.使用范围：采用经皮方式，适用于经心脏团队评估后认为存在外科手术高风险，且二尖瓣瓣膜解剖结构适合的退行性二尖瓣反流（MR≥3+）患者。</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2.主要部件：二尖瓣夹系统，导引鞘组成。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3.输送导管延伸长度&gt;60mm；调弯鞘工作长度&gt;1000mm。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4.植入物具多个规格:臂宽≤6mm,臂长≤12mm；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5.导引鞘长度&gt;800mm，扩张器工作长度&gt;1000 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6.二尖瓣夹中间有封堵网</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7.货架有效期不小于三年。</w:t>
            </w:r>
          </w:p>
        </w:tc>
        <w:tc>
          <w:tcPr>
            <w:tcW w:w="689" w:type="dxa"/>
            <w:vAlign w:val="center"/>
          </w:tcPr>
          <w:p w14:paraId="65075F3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664248A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1D74C7B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688" w:type="dxa"/>
            <w:vAlign w:val="top"/>
          </w:tcPr>
          <w:p w14:paraId="3897C36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6917A17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开标时请携带钳臂宽度为6mm、钳臂长度为12mm的瓣夹系统，此样品为综合评分的一部分，其他品规样品适当携带包含各个系列产品</w:t>
            </w:r>
          </w:p>
        </w:tc>
      </w:tr>
      <w:tr w14:paraId="697C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5E68A79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850" w:type="dxa"/>
            <w:vAlign w:val="center"/>
          </w:tcPr>
          <w:p w14:paraId="3FA7867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ZCB2025-HC43-182</w:t>
            </w:r>
          </w:p>
        </w:tc>
        <w:tc>
          <w:tcPr>
            <w:tcW w:w="716" w:type="dxa"/>
            <w:vAlign w:val="center"/>
          </w:tcPr>
          <w:p w14:paraId="380C7E6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可降解封堵器介入输送系统</w:t>
            </w:r>
          </w:p>
        </w:tc>
        <w:tc>
          <w:tcPr>
            <w:tcW w:w="1096" w:type="dxa"/>
            <w:vAlign w:val="center"/>
          </w:tcPr>
          <w:p w14:paraId="325E881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可降解封堵器介入输送系统</w:t>
            </w:r>
          </w:p>
        </w:tc>
        <w:tc>
          <w:tcPr>
            <w:tcW w:w="1085" w:type="dxa"/>
            <w:vAlign w:val="center"/>
          </w:tcPr>
          <w:p w14:paraId="58D471B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5500</w:t>
            </w:r>
          </w:p>
        </w:tc>
        <w:tc>
          <w:tcPr>
            <w:tcW w:w="2588" w:type="dxa"/>
            <w:vAlign w:val="center"/>
          </w:tcPr>
          <w:p w14:paraId="13F7C851">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w:t>
            </w:r>
            <w:r>
              <w:rPr>
                <w:rFonts w:hint="eastAsia" w:asciiTheme="majorEastAsia" w:hAnsiTheme="majorEastAsia" w:eastAsiaTheme="majorEastAsia" w:cstheme="majorEastAsia"/>
                <w:i w:val="0"/>
                <w:iCs w:val="0"/>
                <w:color w:val="000000"/>
                <w:kern w:val="0"/>
                <w:sz w:val="20"/>
                <w:szCs w:val="20"/>
                <w:u w:val="none"/>
                <w:lang w:val="en-US" w:eastAsia="zh-CN" w:bidi="ar"/>
              </w:rPr>
              <w:t>用于辅助输送可降解封堵器进入心腔内，建立血管内器械的经皮进入通路。</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2</w:t>
            </w:r>
            <w:r>
              <w:rPr>
                <w:rFonts w:hint="eastAsia" w:asciiTheme="majorEastAsia" w:hAnsiTheme="majorEastAsia" w:eastAsiaTheme="majorEastAsia" w:cstheme="majorEastAsia"/>
                <w:i w:val="0"/>
                <w:iCs w:val="0"/>
                <w:color w:val="000000"/>
                <w:kern w:val="0"/>
                <w:sz w:val="20"/>
                <w:szCs w:val="20"/>
                <w:u w:val="none"/>
                <w:lang w:val="en-US" w:eastAsia="zh-CN" w:bidi="ar"/>
              </w:rPr>
              <w:t>、产品主要由输送系统由外套管、装载器、推送器组成，外套管需有多种型号可选，其中卵圆孔型角度较可调节能更好定位到卵圆孔位置；</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3</w:t>
            </w:r>
            <w:r>
              <w:rPr>
                <w:rFonts w:hint="eastAsia" w:asciiTheme="majorEastAsia" w:hAnsiTheme="majorEastAsia" w:eastAsiaTheme="majorEastAsia" w:cstheme="majorEastAsia"/>
                <w:i w:val="0"/>
                <w:iCs w:val="0"/>
                <w:color w:val="000000"/>
                <w:kern w:val="0"/>
                <w:sz w:val="20"/>
                <w:szCs w:val="20"/>
                <w:u w:val="none"/>
                <w:lang w:val="en-US" w:eastAsia="zh-CN" w:bidi="ar"/>
              </w:rPr>
              <w:t>、输送系统的推送器远端有螺纹头，配套对应规格的封堵器的尺寸；</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4</w:t>
            </w:r>
            <w:r>
              <w:rPr>
                <w:rFonts w:hint="eastAsia" w:asciiTheme="majorEastAsia" w:hAnsiTheme="majorEastAsia" w:eastAsiaTheme="majorEastAsia" w:cstheme="majorEastAsia"/>
                <w:i w:val="0"/>
                <w:iCs w:val="0"/>
                <w:color w:val="000000"/>
                <w:kern w:val="0"/>
                <w:sz w:val="20"/>
                <w:szCs w:val="20"/>
                <w:u w:val="none"/>
                <w:lang w:val="en-US" w:eastAsia="zh-CN" w:bidi="ar"/>
              </w:rPr>
              <w:t>、规格型号齐全，满足相应临床需求。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5、灭菌提供，一次性使用，货架有效期不小于3年。</w:t>
            </w:r>
          </w:p>
        </w:tc>
        <w:tc>
          <w:tcPr>
            <w:tcW w:w="689" w:type="dxa"/>
            <w:vAlign w:val="center"/>
          </w:tcPr>
          <w:p w14:paraId="27F3D94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0839F58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65C7A6B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688" w:type="dxa"/>
            <w:vAlign w:val="top"/>
          </w:tcPr>
          <w:p w14:paraId="00C824B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144E24B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开标时请携带12F的样品，此样品为综合评分的一部分，其他品规样品适当携带包含各个系列产品</w:t>
            </w:r>
          </w:p>
        </w:tc>
      </w:tr>
      <w:tr w14:paraId="66FB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50B5B5F9">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850" w:type="dxa"/>
            <w:vAlign w:val="center"/>
          </w:tcPr>
          <w:p w14:paraId="2C927E09">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ZCB2025-HC43-183</w:t>
            </w:r>
          </w:p>
        </w:tc>
        <w:tc>
          <w:tcPr>
            <w:tcW w:w="716" w:type="dxa"/>
            <w:vAlign w:val="center"/>
          </w:tcPr>
          <w:p w14:paraId="1C5AC98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经导管主动脉瓣膜系统</w:t>
            </w:r>
          </w:p>
        </w:tc>
        <w:tc>
          <w:tcPr>
            <w:tcW w:w="1096" w:type="dxa"/>
            <w:vAlign w:val="center"/>
          </w:tcPr>
          <w:p w14:paraId="081FD0A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经导管主动脉瓣膜系统</w:t>
            </w:r>
          </w:p>
        </w:tc>
        <w:tc>
          <w:tcPr>
            <w:tcW w:w="1085" w:type="dxa"/>
            <w:vAlign w:val="center"/>
          </w:tcPr>
          <w:p w14:paraId="1FBC9A4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199000/38000</w:t>
            </w:r>
          </w:p>
        </w:tc>
        <w:tc>
          <w:tcPr>
            <w:tcW w:w="2588" w:type="dxa"/>
            <w:vAlign w:val="center"/>
          </w:tcPr>
          <w:p w14:paraId="7B65971E">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1.产品主要由经导管主动脉瓣膜、经导管主动脉瓣膜输送系统（包括输送器和瓣膜载入器）、主动脉瓣球囊扩张导管、压握装置及球囊充压装置等组成。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2.瓣架材料：钴镍铬钼合金； 瓣叶牛心包经抗钙化处理。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3.瓣膜尺寸：有多种直径可选，适配不同主动脉瓣环尺寸。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 锚定方式：球囊扩张式。</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5.输送系统：</w:t>
            </w:r>
          </w:p>
          <w:p w14:paraId="67577685">
            <w:pPr>
              <w:widowControl/>
              <w:numPr>
                <w:ilvl w:val="0"/>
                <w:numId w:val="7"/>
              </w:numPr>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 xml:space="preserve">输送鞘尺寸：14-16F（低剖面设计，减少血管并发症）。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2）产品须具可调弯功能，导管头端可操控，便于跨瓣和精准定位。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3）释放方式：容积控制逐步释放。</w:t>
            </w:r>
          </w:p>
        </w:tc>
        <w:tc>
          <w:tcPr>
            <w:tcW w:w="689" w:type="dxa"/>
            <w:vAlign w:val="center"/>
          </w:tcPr>
          <w:p w14:paraId="2FA8ED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865" w:type="dxa"/>
            <w:vAlign w:val="center"/>
          </w:tcPr>
          <w:p w14:paraId="1534927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shd w:val="clear" w:color="auto" w:fill="auto"/>
            <w:vAlign w:val="top"/>
          </w:tcPr>
          <w:p w14:paraId="61CF040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688" w:type="dxa"/>
            <w:shd w:val="clear" w:color="auto" w:fill="auto"/>
            <w:vAlign w:val="top"/>
          </w:tcPr>
          <w:p w14:paraId="6611F09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shd w:val="clear" w:color="auto" w:fill="auto"/>
            <w:vAlign w:val="top"/>
          </w:tcPr>
          <w:p w14:paraId="0188A8F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开标时请携带直径为2.3cm的瓣膜系统，此样品为综合评分的一部分，其他品规样品适当携带包含各个系列产品</w:t>
            </w:r>
          </w:p>
        </w:tc>
      </w:tr>
    </w:tbl>
    <w:p w14:paraId="26BB6F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r>
        <w:rPr>
          <w:rFonts w:hint="eastAsia" w:ascii="Tahoma" w:hAnsi="Tahoma" w:cs="Tahoma"/>
          <w:color w:val="FF0000"/>
          <w:kern w:val="0"/>
          <w:szCs w:val="21"/>
          <w:lang w:val="en-US" w:eastAsia="zh-CN"/>
        </w:rPr>
        <w:t>12日</w:t>
      </w:r>
    </w:p>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hint="default" w:ascii="宋体" w:hAnsi="宋体" w:eastAsia="宋体" w:cs="宋体"/>
          <w:color w:val="000000" w:themeColor="text1"/>
          <w:kern w:val="0"/>
          <w:sz w:val="24"/>
          <w:lang w:val="en-US" w:eastAsia="zh-CN"/>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根据2025年党办通7号（2024年第二次医用耗材管理委员会审议结果）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对协议到期的包内敷料项目</w:t>
      </w:r>
      <w:r>
        <w:rPr>
          <w:rFonts w:hint="eastAsia" w:ascii="宋体" w:hAnsi="宋体" w:eastAsia="宋体" w:cs="宋体"/>
          <w:color w:val="000000" w:themeColor="text1"/>
          <w:kern w:val="0"/>
          <w:sz w:val="24"/>
          <w14:textFill>
            <w14:solidFill>
              <w14:schemeClr w14:val="tx1"/>
            </w14:solidFill>
          </w14:textFill>
        </w:rPr>
        <w:t>进行招采</w:t>
      </w:r>
      <w:r>
        <w:rPr>
          <w:rFonts w:hint="eastAsia" w:ascii="宋体" w:hAnsi="宋体" w:eastAsia="宋体" w:cs="宋体"/>
          <w:color w:val="000000" w:themeColor="text1"/>
          <w:kern w:val="0"/>
          <w:sz w:val="24"/>
          <w:lang w:eastAsia="zh-CN"/>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根据2025年党办通265号（2025年第一次医用耗材管理委员会审议结果）的决议，对心血管内科二病区4个新准入的医用耗材项目进行招采。</w:t>
      </w:r>
    </w:p>
    <w:p w14:paraId="41F4DAAF">
      <w:pPr>
        <w:pStyle w:val="43"/>
        <w:widowControl/>
        <w:numPr>
          <w:ilvl w:val="0"/>
          <w:numId w:val="8"/>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pPr w:leftFromText="180" w:rightFromText="180" w:vertAnchor="text" w:horzAnchor="page" w:tblpX="362" w:tblpY="662"/>
        <w:tblOverlap w:val="never"/>
        <w:tblW w:w="11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50"/>
        <w:gridCol w:w="716"/>
        <w:gridCol w:w="1096"/>
        <w:gridCol w:w="1085"/>
        <w:gridCol w:w="2619"/>
        <w:gridCol w:w="658"/>
        <w:gridCol w:w="1130"/>
        <w:gridCol w:w="554"/>
        <w:gridCol w:w="423"/>
        <w:gridCol w:w="1862"/>
      </w:tblGrid>
      <w:tr w14:paraId="3702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0EAD8E7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序号</w:t>
            </w:r>
          </w:p>
        </w:tc>
        <w:tc>
          <w:tcPr>
            <w:tcW w:w="850" w:type="dxa"/>
            <w:vAlign w:val="center"/>
          </w:tcPr>
          <w:p w14:paraId="71665A2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采购文件编号</w:t>
            </w:r>
          </w:p>
        </w:tc>
        <w:tc>
          <w:tcPr>
            <w:tcW w:w="716" w:type="dxa"/>
            <w:vAlign w:val="center"/>
          </w:tcPr>
          <w:p w14:paraId="2F76A83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采购项目名称</w:t>
            </w:r>
          </w:p>
        </w:tc>
        <w:tc>
          <w:tcPr>
            <w:tcW w:w="1096" w:type="dxa"/>
            <w:vAlign w:val="center"/>
          </w:tcPr>
          <w:p w14:paraId="2E16AD5F">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耗材名称（仅供参考）</w:t>
            </w:r>
          </w:p>
        </w:tc>
        <w:tc>
          <w:tcPr>
            <w:tcW w:w="1085" w:type="dxa"/>
            <w:vAlign w:val="center"/>
          </w:tcPr>
          <w:p w14:paraId="7EB5E9A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2619" w:type="dxa"/>
            <w:vAlign w:val="center"/>
          </w:tcPr>
          <w:p w14:paraId="2229D29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技术要求</w:t>
            </w:r>
          </w:p>
        </w:tc>
        <w:tc>
          <w:tcPr>
            <w:tcW w:w="658" w:type="dxa"/>
            <w:vAlign w:val="center"/>
          </w:tcPr>
          <w:p w14:paraId="0D5ADCF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允许进口/国产</w:t>
            </w:r>
          </w:p>
        </w:tc>
        <w:tc>
          <w:tcPr>
            <w:tcW w:w="1130" w:type="dxa"/>
            <w:vAlign w:val="center"/>
          </w:tcPr>
          <w:p w14:paraId="70B0211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554" w:type="dxa"/>
          </w:tcPr>
          <w:p w14:paraId="4CF2921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使用科室</w:t>
            </w:r>
          </w:p>
        </w:tc>
        <w:tc>
          <w:tcPr>
            <w:tcW w:w="423" w:type="dxa"/>
          </w:tcPr>
          <w:p w14:paraId="12B35C9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类别</w:t>
            </w:r>
          </w:p>
        </w:tc>
        <w:tc>
          <w:tcPr>
            <w:tcW w:w="1862" w:type="dxa"/>
          </w:tcPr>
          <w:p w14:paraId="0F7B01A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3320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restart"/>
            <w:vAlign w:val="center"/>
          </w:tcPr>
          <w:p w14:paraId="72E8417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850" w:type="dxa"/>
            <w:vMerge w:val="restart"/>
            <w:vAlign w:val="center"/>
          </w:tcPr>
          <w:p w14:paraId="69EDAE4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ZCB2025-HC43-179</w:t>
            </w:r>
          </w:p>
        </w:tc>
        <w:tc>
          <w:tcPr>
            <w:tcW w:w="716" w:type="dxa"/>
            <w:vMerge w:val="restart"/>
            <w:vAlign w:val="center"/>
          </w:tcPr>
          <w:p w14:paraId="0A0C0B8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包内敷料</w:t>
            </w:r>
          </w:p>
        </w:tc>
        <w:tc>
          <w:tcPr>
            <w:tcW w:w="1096" w:type="dxa"/>
            <w:shd w:val="clear" w:color="auto" w:fill="auto"/>
            <w:vAlign w:val="center"/>
          </w:tcPr>
          <w:p w14:paraId="707A612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医用脱脂纱布块</w:t>
            </w:r>
          </w:p>
        </w:tc>
        <w:tc>
          <w:tcPr>
            <w:tcW w:w="1085" w:type="dxa"/>
            <w:vAlign w:val="center"/>
          </w:tcPr>
          <w:p w14:paraId="2077B18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20</w:t>
            </w:r>
          </w:p>
        </w:tc>
        <w:tc>
          <w:tcPr>
            <w:tcW w:w="2619" w:type="dxa"/>
            <w:vAlign w:val="center"/>
          </w:tcPr>
          <w:p w14:paraId="09B0D59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供临床护创、吸湿用</w:t>
            </w:r>
          </w:p>
        </w:tc>
        <w:tc>
          <w:tcPr>
            <w:tcW w:w="658" w:type="dxa"/>
            <w:vMerge w:val="restart"/>
            <w:vAlign w:val="center"/>
          </w:tcPr>
          <w:p w14:paraId="2BD1C5E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1130" w:type="dxa"/>
            <w:vMerge w:val="restart"/>
            <w:vAlign w:val="center"/>
          </w:tcPr>
          <w:p w14:paraId="63556718">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vMerge w:val="restart"/>
            <w:shd w:val="clear" w:color="auto" w:fill="auto"/>
            <w:vAlign w:val="center"/>
          </w:tcPr>
          <w:p w14:paraId="6F74734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消毒供应中心</w:t>
            </w:r>
          </w:p>
          <w:p w14:paraId="68AE761C">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p>
        </w:tc>
        <w:tc>
          <w:tcPr>
            <w:tcW w:w="423" w:type="dxa"/>
            <w:vMerge w:val="restart"/>
            <w:vAlign w:val="top"/>
          </w:tcPr>
          <w:p w14:paraId="3CBB53D5">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协议到期</w:t>
            </w:r>
          </w:p>
        </w:tc>
        <w:tc>
          <w:tcPr>
            <w:tcW w:w="1862" w:type="dxa"/>
            <w:vMerge w:val="restart"/>
            <w:vAlign w:val="top"/>
          </w:tcPr>
          <w:p w14:paraId="05A42EA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开标时请携带医用脱脂纱布块、医用石蜡棉球、一次性医用棉片的样品，此样品为综合评分的一部分，其他品规样品适当携带包含各个系列产品</w:t>
            </w:r>
          </w:p>
        </w:tc>
      </w:tr>
      <w:tr w14:paraId="3211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5F67FFD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0F45704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0552056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540C4E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脱脂棉球</w:t>
            </w:r>
          </w:p>
        </w:tc>
        <w:tc>
          <w:tcPr>
            <w:tcW w:w="1085" w:type="dxa"/>
            <w:vAlign w:val="center"/>
          </w:tcPr>
          <w:p w14:paraId="3A3A1AF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16</w:t>
            </w:r>
          </w:p>
        </w:tc>
        <w:tc>
          <w:tcPr>
            <w:tcW w:w="2619" w:type="dxa"/>
            <w:vAlign w:val="center"/>
          </w:tcPr>
          <w:p w14:paraId="6A59979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用于对手术或穿刺部位的皮肤、机械创伤及器械的局部涂抹消毒剂</w:t>
            </w:r>
          </w:p>
        </w:tc>
        <w:tc>
          <w:tcPr>
            <w:tcW w:w="658" w:type="dxa"/>
            <w:vMerge w:val="continue"/>
            <w:vAlign w:val="center"/>
          </w:tcPr>
          <w:p w14:paraId="0A1A310D">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06D23319">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shd w:val="clear" w:color="auto" w:fill="auto"/>
            <w:vAlign w:val="center"/>
          </w:tcPr>
          <w:p w14:paraId="0B9516E2">
            <w:pPr>
              <w:jc w:val="center"/>
              <w:rPr>
                <w:rFonts w:hint="default" w:ascii="Times New Roman" w:hAnsi="Times New Roman" w:eastAsia="宋体" w:cs="Times New Roman"/>
                <w:color w:val="000000"/>
                <w:kern w:val="2"/>
                <w:sz w:val="22"/>
                <w:szCs w:val="24"/>
                <w:lang w:val="en-US" w:eastAsia="zh-CN" w:bidi="ar-SA"/>
              </w:rPr>
            </w:pPr>
          </w:p>
        </w:tc>
        <w:tc>
          <w:tcPr>
            <w:tcW w:w="423" w:type="dxa"/>
            <w:vMerge w:val="continue"/>
            <w:vAlign w:val="top"/>
          </w:tcPr>
          <w:p w14:paraId="25035226">
            <w:pPr>
              <w:jc w:val="center"/>
              <w:rPr>
                <w:rFonts w:hint="default" w:ascii="Times New Roman" w:hAnsi="Times New Roman" w:eastAsia="宋体" w:cs="Times New Roman"/>
                <w:color w:val="000000"/>
                <w:kern w:val="2"/>
                <w:sz w:val="22"/>
                <w:szCs w:val="24"/>
                <w:lang w:val="en-US" w:eastAsia="zh-CN" w:bidi="ar-SA"/>
              </w:rPr>
            </w:pPr>
          </w:p>
        </w:tc>
        <w:tc>
          <w:tcPr>
            <w:tcW w:w="1862" w:type="dxa"/>
            <w:vMerge w:val="continue"/>
            <w:vAlign w:val="top"/>
          </w:tcPr>
          <w:p w14:paraId="7E9081B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81F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0E4AE27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0190B64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36C0F7C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2A9A0AB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医用显影纱布块</w:t>
            </w:r>
          </w:p>
        </w:tc>
        <w:tc>
          <w:tcPr>
            <w:tcW w:w="1085" w:type="dxa"/>
            <w:vAlign w:val="center"/>
          </w:tcPr>
          <w:p w14:paraId="3CF287E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0.37</w:t>
            </w:r>
          </w:p>
        </w:tc>
        <w:tc>
          <w:tcPr>
            <w:tcW w:w="2619" w:type="dxa"/>
            <w:vAlign w:val="center"/>
          </w:tcPr>
          <w:p w14:paraId="00B642E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由脱脂棉纱布和X光可检测钡线（片）加工而成本，分无菌和非无菌两种形式。无菌形式供应的纱布块经环氧乙烷灭菌后应无菌，经环氧乙烷灭菌后，环氧乙烷残留量应不大于10mg/kg。一次性使用</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t>适用临床护创、吸湿用</w:t>
            </w:r>
          </w:p>
        </w:tc>
        <w:tc>
          <w:tcPr>
            <w:tcW w:w="658" w:type="dxa"/>
            <w:vMerge w:val="continue"/>
            <w:vAlign w:val="center"/>
          </w:tcPr>
          <w:p w14:paraId="3D65C038">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23ECE662">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1DB93DA5">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06CA2F12">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499C3C1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192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30DD2A6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5CD0DE5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7AE7CBF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786EFE1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纱布绷带</w:t>
            </w:r>
          </w:p>
        </w:tc>
        <w:tc>
          <w:tcPr>
            <w:tcW w:w="1085" w:type="dxa"/>
            <w:vAlign w:val="center"/>
          </w:tcPr>
          <w:p w14:paraId="06BEA72C">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13.3</w:t>
            </w:r>
          </w:p>
        </w:tc>
        <w:tc>
          <w:tcPr>
            <w:tcW w:w="2619" w:type="dxa"/>
            <w:vAlign w:val="center"/>
          </w:tcPr>
          <w:p w14:paraId="5C3A5DD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由脱脂棉纱布打卷切割制成，用于对创面敷料或肢体提供束缚力，以起到包扎、固定作用。</w:t>
            </w:r>
          </w:p>
        </w:tc>
        <w:tc>
          <w:tcPr>
            <w:tcW w:w="658" w:type="dxa"/>
            <w:vMerge w:val="continue"/>
            <w:vAlign w:val="center"/>
          </w:tcPr>
          <w:p w14:paraId="66948E4B">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101C973B">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373BB535">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11E4F968">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5FBA925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9F7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79A2CD8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1781C65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04B37AF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6E1AF50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医用棉垫</w:t>
            </w:r>
          </w:p>
        </w:tc>
        <w:tc>
          <w:tcPr>
            <w:tcW w:w="1085" w:type="dxa"/>
            <w:vAlign w:val="center"/>
          </w:tcPr>
          <w:p w14:paraId="1C4B8D4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9</w:t>
            </w:r>
          </w:p>
        </w:tc>
        <w:tc>
          <w:tcPr>
            <w:tcW w:w="2619" w:type="dxa"/>
            <w:vAlign w:val="center"/>
          </w:tcPr>
          <w:p w14:paraId="495AA13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供临床护创、吸湿用</w:t>
            </w:r>
          </w:p>
        </w:tc>
        <w:tc>
          <w:tcPr>
            <w:tcW w:w="658" w:type="dxa"/>
            <w:vMerge w:val="continue"/>
            <w:vAlign w:val="center"/>
          </w:tcPr>
          <w:p w14:paraId="6E23C7B4">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3266837A">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6CCB059F">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6F6EB923">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05CED03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4DB0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19BB9A6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5C65E01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0E8573A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565C3DA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医用脱脂纱布垫</w:t>
            </w:r>
          </w:p>
        </w:tc>
        <w:tc>
          <w:tcPr>
            <w:tcW w:w="1085" w:type="dxa"/>
            <w:vAlign w:val="center"/>
          </w:tcPr>
          <w:p w14:paraId="2E16A70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4.4</w:t>
            </w:r>
          </w:p>
        </w:tc>
        <w:tc>
          <w:tcPr>
            <w:tcW w:w="2619" w:type="dxa"/>
            <w:vAlign w:val="center"/>
          </w:tcPr>
          <w:p w14:paraId="7424B01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普通型由脱脂棉纱布加工而成；显影型由含有X光钡线的脱脂棉纱布加工而成。供临床护创、吸湿用</w:t>
            </w:r>
          </w:p>
        </w:tc>
        <w:tc>
          <w:tcPr>
            <w:tcW w:w="658" w:type="dxa"/>
            <w:vMerge w:val="continue"/>
            <w:vAlign w:val="center"/>
          </w:tcPr>
          <w:p w14:paraId="0A81B72C">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73298ABD">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2A066D2A">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44198B12">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6BD7454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287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vMerge w:val="continue"/>
            <w:vAlign w:val="center"/>
          </w:tcPr>
          <w:p w14:paraId="1EFC696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0467F84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4EF847E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4163B26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医用棉球</w:t>
            </w:r>
          </w:p>
        </w:tc>
        <w:tc>
          <w:tcPr>
            <w:tcW w:w="1085" w:type="dxa"/>
            <w:vAlign w:val="center"/>
          </w:tcPr>
          <w:p w14:paraId="00FD350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0.43</w:t>
            </w:r>
          </w:p>
        </w:tc>
        <w:tc>
          <w:tcPr>
            <w:tcW w:w="2619" w:type="dxa"/>
            <w:vAlign w:val="center"/>
          </w:tcPr>
          <w:p w14:paraId="163200D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本用于医疗机构皮肤消毒时使用。</w:t>
            </w:r>
          </w:p>
        </w:tc>
        <w:tc>
          <w:tcPr>
            <w:tcW w:w="658" w:type="dxa"/>
            <w:vMerge w:val="continue"/>
            <w:vAlign w:val="center"/>
          </w:tcPr>
          <w:p w14:paraId="5B77EEBF">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45001500">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5742D50E">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17B4C8C0">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0E742CC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1722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35B786C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60A2564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3D1D60F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2A41909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医用石蜡棉球</w:t>
            </w:r>
          </w:p>
        </w:tc>
        <w:tc>
          <w:tcPr>
            <w:tcW w:w="1085" w:type="dxa"/>
            <w:vAlign w:val="center"/>
          </w:tcPr>
          <w:p w14:paraId="67CCA02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0.6</w:t>
            </w:r>
          </w:p>
        </w:tc>
        <w:tc>
          <w:tcPr>
            <w:tcW w:w="2619" w:type="dxa"/>
            <w:vAlign w:val="center"/>
          </w:tcPr>
          <w:p w14:paraId="3606537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由棉球在液体石蜡中浸泡而成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用于医疗器械表面润滑。</w:t>
            </w:r>
          </w:p>
        </w:tc>
        <w:tc>
          <w:tcPr>
            <w:tcW w:w="658" w:type="dxa"/>
            <w:vMerge w:val="continue"/>
            <w:vAlign w:val="center"/>
          </w:tcPr>
          <w:p w14:paraId="4373F892">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1027E18F">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21061D8F">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68C3C12D">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7333D6C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2B1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Merge w:val="continue"/>
            <w:vAlign w:val="center"/>
          </w:tcPr>
          <w:p w14:paraId="0F128D14">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850" w:type="dxa"/>
            <w:vMerge w:val="continue"/>
            <w:vAlign w:val="center"/>
          </w:tcPr>
          <w:p w14:paraId="4FAC590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16" w:type="dxa"/>
            <w:vMerge w:val="continue"/>
            <w:vAlign w:val="center"/>
          </w:tcPr>
          <w:p w14:paraId="4F4D4B3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1096" w:type="dxa"/>
            <w:shd w:val="clear" w:color="auto" w:fill="auto"/>
            <w:vAlign w:val="center"/>
          </w:tcPr>
          <w:p w14:paraId="012CCC7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一次性医用棉片</w:t>
            </w:r>
          </w:p>
        </w:tc>
        <w:tc>
          <w:tcPr>
            <w:tcW w:w="1085" w:type="dxa"/>
            <w:vAlign w:val="center"/>
          </w:tcPr>
          <w:p w14:paraId="3660ED1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0.23</w:t>
            </w:r>
          </w:p>
        </w:tc>
        <w:tc>
          <w:tcPr>
            <w:tcW w:w="2619" w:type="dxa"/>
            <w:vAlign w:val="center"/>
          </w:tcPr>
          <w:p w14:paraId="475EF0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由医用脱脂棉加工制成。经环氧乙烷灭菌后，环氧乙烷残留量应不大于10μg/g。一次性使用。供临床护创、吸湿用。</w:t>
            </w:r>
          </w:p>
        </w:tc>
        <w:tc>
          <w:tcPr>
            <w:tcW w:w="658" w:type="dxa"/>
            <w:vMerge w:val="continue"/>
            <w:vAlign w:val="center"/>
          </w:tcPr>
          <w:p w14:paraId="65CEBA77">
            <w:pPr>
              <w:widowControl/>
              <w:jc w:val="center"/>
              <w:rPr>
                <w:rFonts w:hint="eastAsia" w:asciiTheme="majorEastAsia" w:hAnsiTheme="majorEastAsia" w:eastAsiaTheme="majorEastAsia" w:cstheme="majorEastAsia"/>
                <w:kern w:val="0"/>
                <w:sz w:val="20"/>
                <w:szCs w:val="20"/>
                <w:lang w:val="en-US" w:eastAsia="zh-CN"/>
              </w:rPr>
            </w:pPr>
          </w:p>
        </w:tc>
        <w:tc>
          <w:tcPr>
            <w:tcW w:w="1130" w:type="dxa"/>
            <w:vMerge w:val="continue"/>
            <w:vAlign w:val="center"/>
          </w:tcPr>
          <w:p w14:paraId="749F4BB7">
            <w:pPr>
              <w:widowControl/>
              <w:jc w:val="center"/>
              <w:rPr>
                <w:rFonts w:hint="default" w:asciiTheme="majorEastAsia" w:hAnsiTheme="majorEastAsia" w:eastAsiaTheme="majorEastAsia" w:cstheme="majorEastAsia"/>
                <w:kern w:val="0"/>
                <w:sz w:val="20"/>
                <w:szCs w:val="20"/>
                <w:lang w:val="en-US" w:eastAsia="zh-CN"/>
              </w:rPr>
            </w:pPr>
          </w:p>
        </w:tc>
        <w:tc>
          <w:tcPr>
            <w:tcW w:w="554" w:type="dxa"/>
            <w:vMerge w:val="continue"/>
          </w:tcPr>
          <w:p w14:paraId="3A0C346C">
            <w:pPr>
              <w:widowControl/>
              <w:jc w:val="both"/>
              <w:rPr>
                <w:rFonts w:hint="default" w:asciiTheme="majorEastAsia" w:hAnsiTheme="majorEastAsia" w:eastAsiaTheme="majorEastAsia" w:cstheme="majorEastAsia"/>
                <w:kern w:val="0"/>
                <w:sz w:val="20"/>
                <w:szCs w:val="20"/>
                <w:lang w:val="en-US" w:eastAsia="zh-CN"/>
              </w:rPr>
            </w:pPr>
          </w:p>
        </w:tc>
        <w:tc>
          <w:tcPr>
            <w:tcW w:w="423" w:type="dxa"/>
            <w:vMerge w:val="continue"/>
            <w:vAlign w:val="top"/>
          </w:tcPr>
          <w:p w14:paraId="0DCD4B6E">
            <w:pPr>
              <w:widowControl/>
              <w:jc w:val="both"/>
              <w:rPr>
                <w:rFonts w:hint="default" w:asciiTheme="majorEastAsia" w:hAnsiTheme="majorEastAsia" w:eastAsiaTheme="majorEastAsia" w:cstheme="majorEastAsia"/>
                <w:kern w:val="0"/>
                <w:sz w:val="20"/>
                <w:szCs w:val="20"/>
                <w:lang w:val="en-US" w:eastAsia="zh-CN"/>
              </w:rPr>
            </w:pPr>
          </w:p>
        </w:tc>
        <w:tc>
          <w:tcPr>
            <w:tcW w:w="1862" w:type="dxa"/>
            <w:vMerge w:val="continue"/>
            <w:vAlign w:val="top"/>
          </w:tcPr>
          <w:p w14:paraId="2829F60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C28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7C89CE1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850" w:type="dxa"/>
            <w:vAlign w:val="center"/>
          </w:tcPr>
          <w:p w14:paraId="2225924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ZCB2025-HC43-180</w:t>
            </w:r>
          </w:p>
        </w:tc>
        <w:tc>
          <w:tcPr>
            <w:tcW w:w="716" w:type="dxa"/>
            <w:vAlign w:val="center"/>
          </w:tcPr>
          <w:p w14:paraId="1F8D7BF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肺动脉取栓支架系统</w:t>
            </w:r>
          </w:p>
        </w:tc>
        <w:tc>
          <w:tcPr>
            <w:tcW w:w="1096" w:type="dxa"/>
            <w:vAlign w:val="center"/>
          </w:tcPr>
          <w:p w14:paraId="5E89E9F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肺动脉取栓支架系统</w:t>
            </w:r>
          </w:p>
        </w:tc>
        <w:tc>
          <w:tcPr>
            <w:tcW w:w="1085" w:type="dxa"/>
            <w:vAlign w:val="center"/>
          </w:tcPr>
          <w:p w14:paraId="7AD9E36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29600</w:t>
            </w:r>
          </w:p>
        </w:tc>
        <w:tc>
          <w:tcPr>
            <w:tcW w:w="2619" w:type="dxa"/>
            <w:vAlign w:val="top"/>
          </w:tcPr>
          <w:p w14:paraId="0DCE5052">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1.用于急性高危肺栓塞或伴临床恶化的中危肺栓塞的经导管血栓清除治疗；</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2.产品主要由肺动脉取栓支架和血栓抽吸导管两部分组成。其中肺动脉取栓支架由输送鞘管和连有自膨式网篮结构的推送管同轴组装而成；血栓抽吸导管由抽吸导管、导管芯和抽吸器组成；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3.多种规格型号可选，取栓网篮外径不小于12mm，不大于28mm，</w:t>
            </w:r>
            <w:r>
              <w:rPr>
                <w:rFonts w:hint="default" w:asciiTheme="majorEastAsia" w:hAnsiTheme="majorEastAsia" w:eastAsiaTheme="majorEastAsia" w:cstheme="majorEastAsia"/>
                <w:i w:val="0"/>
                <w:iCs w:val="0"/>
                <w:color w:val="000000"/>
                <w:kern w:val="0"/>
                <w:sz w:val="20"/>
                <w:szCs w:val="20"/>
                <w:u w:val="none"/>
                <w:lang w:val="en-US" w:eastAsia="zh-CN" w:bidi="ar"/>
              </w:rPr>
              <w:t>输送鞘管外径；4.0mm±0.5mm</w:t>
            </w:r>
            <w:r>
              <w:rPr>
                <w:rFonts w:hint="eastAsia" w:asciiTheme="majorEastAsia" w:hAnsiTheme="majorEastAsia" w:eastAsiaTheme="majorEastAsia" w:cstheme="majorEastAsia"/>
                <w:i w:val="0"/>
                <w:iCs w:val="0"/>
                <w:color w:val="000000"/>
                <w:kern w:val="0"/>
                <w:sz w:val="20"/>
                <w:szCs w:val="20"/>
                <w:u w:val="none"/>
                <w:lang w:val="en-US" w:eastAsia="zh-CN" w:bidi="ar"/>
              </w:rPr>
              <w:t>；血栓抽吸导管外径5.2mm-7.8mm，导管有效长度不小于</w:t>
            </w:r>
            <w:r>
              <w:rPr>
                <w:rFonts w:hint="default" w:asciiTheme="majorEastAsia" w:hAnsiTheme="majorEastAsia" w:eastAsiaTheme="majorEastAsia" w:cstheme="majorEastAsia"/>
                <w:i w:val="0"/>
                <w:iCs w:val="0"/>
                <w:color w:val="000000"/>
                <w:kern w:val="0"/>
                <w:sz w:val="20"/>
                <w:szCs w:val="20"/>
                <w:u w:val="none"/>
                <w:lang w:val="en-US" w:eastAsia="zh-CN" w:bidi="ar"/>
              </w:rPr>
              <w:t>900mm±5mm</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4.产品灭菌提供，一次性使用，货架有效期不小于三年。</w:t>
            </w:r>
          </w:p>
        </w:tc>
        <w:tc>
          <w:tcPr>
            <w:tcW w:w="658" w:type="dxa"/>
            <w:vAlign w:val="center"/>
          </w:tcPr>
          <w:p w14:paraId="5FB665F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1130" w:type="dxa"/>
            <w:vAlign w:val="center"/>
          </w:tcPr>
          <w:p w14:paraId="48B313F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7CA59B1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423" w:type="dxa"/>
            <w:vAlign w:val="top"/>
          </w:tcPr>
          <w:p w14:paraId="27EE6F1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7AD0DCE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开标时请携带适用于11-14mm、15-18mm血管的支架以及16-20F的抽吸导管，此样品为综合评分的一部分，其他品规样品适当携带包含各个系列产品</w:t>
            </w:r>
          </w:p>
        </w:tc>
      </w:tr>
      <w:tr w14:paraId="4F72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9" w:hRule="atLeast"/>
        </w:trPr>
        <w:tc>
          <w:tcPr>
            <w:tcW w:w="459" w:type="dxa"/>
            <w:vAlign w:val="center"/>
          </w:tcPr>
          <w:p w14:paraId="28E0FEE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850" w:type="dxa"/>
            <w:vAlign w:val="center"/>
          </w:tcPr>
          <w:p w14:paraId="78AA97D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ZCB2025-HC43-181</w:t>
            </w:r>
          </w:p>
        </w:tc>
        <w:tc>
          <w:tcPr>
            <w:tcW w:w="716" w:type="dxa"/>
            <w:vAlign w:val="center"/>
          </w:tcPr>
          <w:p w14:paraId="59409D8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经导管二尖瓣夹系统</w:t>
            </w:r>
          </w:p>
        </w:tc>
        <w:tc>
          <w:tcPr>
            <w:tcW w:w="1096" w:type="dxa"/>
            <w:vAlign w:val="center"/>
          </w:tcPr>
          <w:p w14:paraId="59E7A5EA">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经导管二尖瓣夹系统</w:t>
            </w:r>
          </w:p>
        </w:tc>
        <w:tc>
          <w:tcPr>
            <w:tcW w:w="1085" w:type="dxa"/>
            <w:vAlign w:val="center"/>
          </w:tcPr>
          <w:p w14:paraId="6BC88E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198000</w:t>
            </w:r>
          </w:p>
        </w:tc>
        <w:tc>
          <w:tcPr>
            <w:tcW w:w="2619" w:type="dxa"/>
            <w:vAlign w:val="center"/>
          </w:tcPr>
          <w:p w14:paraId="07D395F0">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1.使用范围：采用经皮方式，适用于经心脏团队评估后认为存在外科手术高风险，且二尖瓣瓣膜解剖结构适合的退行性二尖瓣反流（MR≥3+）患者。</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2.主要部件：二尖瓣夹系统，导引鞘组成。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3.输送导管延伸长度&gt;60mm；调弯鞘工作长度&gt;1000mm。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4.植入物具多个规格:臂宽≤6mm,臂长≤12mm；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5.导引鞘长度&gt;800mm，扩张器工作长度&gt;1000 mm</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6.二尖瓣夹中间有封堵网</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7.货架有效期不小于三年。</w:t>
            </w:r>
          </w:p>
        </w:tc>
        <w:tc>
          <w:tcPr>
            <w:tcW w:w="658" w:type="dxa"/>
            <w:vAlign w:val="center"/>
          </w:tcPr>
          <w:p w14:paraId="2D037F1A">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1130" w:type="dxa"/>
            <w:vAlign w:val="center"/>
          </w:tcPr>
          <w:p w14:paraId="5F2D921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47D212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423" w:type="dxa"/>
            <w:vAlign w:val="top"/>
          </w:tcPr>
          <w:p w14:paraId="0907445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6884178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开标时请携带钳臂宽度为6mm、钳臂长度为12mm的瓣夹系统，此样品为综合评分的一部分，其他品规样品适当携带包含各个系列产品</w:t>
            </w:r>
          </w:p>
        </w:tc>
      </w:tr>
      <w:tr w14:paraId="0A63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370B7DD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850" w:type="dxa"/>
            <w:vAlign w:val="center"/>
          </w:tcPr>
          <w:p w14:paraId="5BD6D33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ZCB2025-HC43-182</w:t>
            </w:r>
          </w:p>
        </w:tc>
        <w:tc>
          <w:tcPr>
            <w:tcW w:w="716" w:type="dxa"/>
            <w:vAlign w:val="center"/>
          </w:tcPr>
          <w:p w14:paraId="4E6BE46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可降解封堵器介入输送系统</w:t>
            </w:r>
          </w:p>
        </w:tc>
        <w:tc>
          <w:tcPr>
            <w:tcW w:w="1096" w:type="dxa"/>
            <w:vAlign w:val="center"/>
          </w:tcPr>
          <w:p w14:paraId="738E876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可降解封堵器介入输送系统</w:t>
            </w:r>
          </w:p>
        </w:tc>
        <w:tc>
          <w:tcPr>
            <w:tcW w:w="1085" w:type="dxa"/>
            <w:vAlign w:val="center"/>
          </w:tcPr>
          <w:p w14:paraId="66BE9C7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5500</w:t>
            </w:r>
          </w:p>
        </w:tc>
        <w:tc>
          <w:tcPr>
            <w:tcW w:w="2619" w:type="dxa"/>
            <w:vAlign w:val="center"/>
          </w:tcPr>
          <w:p w14:paraId="471A08BA">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1.</w:t>
            </w:r>
            <w:r>
              <w:rPr>
                <w:rFonts w:hint="eastAsia" w:asciiTheme="majorEastAsia" w:hAnsiTheme="majorEastAsia" w:eastAsiaTheme="majorEastAsia" w:cstheme="majorEastAsia"/>
                <w:i w:val="0"/>
                <w:iCs w:val="0"/>
                <w:color w:val="000000"/>
                <w:kern w:val="0"/>
                <w:sz w:val="20"/>
                <w:szCs w:val="20"/>
                <w:u w:val="none"/>
                <w:lang w:val="en-US" w:eastAsia="zh-CN" w:bidi="ar"/>
              </w:rPr>
              <w:t>用于辅助输送可降解封堵器进入心腔内，建立血管内器械的经皮进入通路。</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2</w:t>
            </w:r>
            <w:r>
              <w:rPr>
                <w:rFonts w:hint="eastAsia" w:asciiTheme="majorEastAsia" w:hAnsiTheme="majorEastAsia" w:eastAsiaTheme="majorEastAsia" w:cstheme="majorEastAsia"/>
                <w:i w:val="0"/>
                <w:iCs w:val="0"/>
                <w:color w:val="000000"/>
                <w:kern w:val="0"/>
                <w:sz w:val="20"/>
                <w:szCs w:val="20"/>
                <w:u w:val="none"/>
                <w:lang w:val="en-US" w:eastAsia="zh-CN" w:bidi="ar"/>
              </w:rPr>
              <w:t>、产品主要由输送系统由外套管、装载器、推送器组成，外套管需有多种型号可选，其中卵圆孔型角度较可调节能更好定位到卵圆孔位置；</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3</w:t>
            </w:r>
            <w:r>
              <w:rPr>
                <w:rFonts w:hint="eastAsia" w:asciiTheme="majorEastAsia" w:hAnsiTheme="majorEastAsia" w:eastAsiaTheme="majorEastAsia" w:cstheme="majorEastAsia"/>
                <w:i w:val="0"/>
                <w:iCs w:val="0"/>
                <w:color w:val="000000"/>
                <w:kern w:val="0"/>
                <w:sz w:val="20"/>
                <w:szCs w:val="20"/>
                <w:u w:val="none"/>
                <w:lang w:val="en-US" w:eastAsia="zh-CN" w:bidi="ar"/>
              </w:rPr>
              <w:t>、输送系统的推送器远端有螺纹头，配套对应规格的封堵器的尺寸；</w:t>
            </w:r>
            <w:r>
              <w:rPr>
                <w:rFonts w:hint="default" w:asciiTheme="majorEastAsia" w:hAnsiTheme="majorEastAsia" w:eastAsiaTheme="majorEastAsia" w:cstheme="majorEastAsia"/>
                <w:i w:val="0"/>
                <w:iCs w:val="0"/>
                <w:color w:val="000000"/>
                <w:kern w:val="0"/>
                <w:sz w:val="20"/>
                <w:szCs w:val="20"/>
                <w:u w:val="none"/>
                <w:lang w:val="en-US" w:eastAsia="zh-CN" w:bidi="ar"/>
              </w:rPr>
              <w:t xml:space="preserve">                                                       4</w:t>
            </w:r>
            <w:r>
              <w:rPr>
                <w:rFonts w:hint="eastAsia" w:asciiTheme="majorEastAsia" w:hAnsiTheme="majorEastAsia" w:eastAsiaTheme="majorEastAsia" w:cstheme="majorEastAsia"/>
                <w:i w:val="0"/>
                <w:iCs w:val="0"/>
                <w:color w:val="000000"/>
                <w:kern w:val="0"/>
                <w:sz w:val="20"/>
                <w:szCs w:val="20"/>
                <w:u w:val="none"/>
                <w:lang w:val="en-US" w:eastAsia="zh-CN" w:bidi="ar"/>
              </w:rPr>
              <w:t>、规格型号齐全，满足相应临床需求。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5、灭菌提供，一次性使用，货架有效期不小于3年。</w:t>
            </w:r>
          </w:p>
        </w:tc>
        <w:tc>
          <w:tcPr>
            <w:tcW w:w="658" w:type="dxa"/>
            <w:vAlign w:val="center"/>
          </w:tcPr>
          <w:p w14:paraId="56C181B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1130" w:type="dxa"/>
            <w:vAlign w:val="center"/>
          </w:tcPr>
          <w:p w14:paraId="1B382DE1">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tcPr>
          <w:p w14:paraId="1C3F57A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423" w:type="dxa"/>
            <w:vAlign w:val="top"/>
          </w:tcPr>
          <w:p w14:paraId="188FB95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vAlign w:val="top"/>
          </w:tcPr>
          <w:p w14:paraId="5EF5232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开标时请携带12F的样品，此样品为综合评分的一部分，其他品规样品适当携带包含各个系列产品</w:t>
            </w:r>
          </w:p>
        </w:tc>
      </w:tr>
      <w:tr w14:paraId="1F75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vAlign w:val="center"/>
          </w:tcPr>
          <w:p w14:paraId="47E2B010">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850" w:type="dxa"/>
            <w:vAlign w:val="center"/>
          </w:tcPr>
          <w:p w14:paraId="5F9C05D1">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ZCB2025-HC43-183</w:t>
            </w:r>
          </w:p>
        </w:tc>
        <w:tc>
          <w:tcPr>
            <w:tcW w:w="716" w:type="dxa"/>
            <w:vAlign w:val="center"/>
          </w:tcPr>
          <w:p w14:paraId="3CE93F2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经导管主动脉瓣膜系统</w:t>
            </w:r>
          </w:p>
        </w:tc>
        <w:tc>
          <w:tcPr>
            <w:tcW w:w="1096" w:type="dxa"/>
            <w:vAlign w:val="center"/>
          </w:tcPr>
          <w:p w14:paraId="6511A9F5">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经导管主动脉瓣膜系统</w:t>
            </w:r>
          </w:p>
        </w:tc>
        <w:tc>
          <w:tcPr>
            <w:tcW w:w="1085" w:type="dxa"/>
            <w:vAlign w:val="center"/>
          </w:tcPr>
          <w:p w14:paraId="1B07A70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199000/38000</w:t>
            </w:r>
            <w:bookmarkStart w:id="30" w:name="_GoBack"/>
            <w:bookmarkEnd w:id="30"/>
          </w:p>
        </w:tc>
        <w:tc>
          <w:tcPr>
            <w:tcW w:w="2619" w:type="dxa"/>
            <w:vAlign w:val="center"/>
          </w:tcPr>
          <w:p w14:paraId="27EDCD14">
            <w:pPr>
              <w:widowControl/>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1.产品主要由经导管主动脉瓣膜、经导管主动脉瓣膜输送系统（包括输送器和瓣膜载入器）、主动脉瓣球囊扩张导管、压握装置及球囊充压装置等组成。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2.瓣架材料：钴镍铬钼合金； 瓣叶牛心包经抗钙化处理。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3.瓣膜尺寸：有多种直径可选，适配不同主动脉瓣环尺寸。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 锚定方式：球囊扩张式。</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5.输送系统：</w:t>
            </w:r>
          </w:p>
          <w:p w14:paraId="6B13AFFE">
            <w:pPr>
              <w:widowControl/>
              <w:numPr>
                <w:ilvl w:val="0"/>
                <w:numId w:val="7"/>
              </w:numPr>
              <w:jc w:val="left"/>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 xml:space="preserve">输送鞘尺寸：14-16F（低剖面设计，减少血管并发症）。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 xml:space="preserve">2）产品须具可调弯功能，导管头端可操控，便于跨瓣和精准定位。  </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3）释放方式：容积控制逐步释放。</w:t>
            </w:r>
          </w:p>
        </w:tc>
        <w:tc>
          <w:tcPr>
            <w:tcW w:w="658" w:type="dxa"/>
            <w:vAlign w:val="center"/>
          </w:tcPr>
          <w:p w14:paraId="0616665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1130" w:type="dxa"/>
            <w:vAlign w:val="center"/>
          </w:tcPr>
          <w:p w14:paraId="0F847DB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554" w:type="dxa"/>
            <w:shd w:val="clear" w:color="auto" w:fill="auto"/>
            <w:vAlign w:val="top"/>
          </w:tcPr>
          <w:p w14:paraId="1486798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心血管内科二病区</w:t>
            </w:r>
          </w:p>
        </w:tc>
        <w:tc>
          <w:tcPr>
            <w:tcW w:w="423" w:type="dxa"/>
            <w:shd w:val="clear" w:color="auto" w:fill="auto"/>
            <w:vAlign w:val="top"/>
          </w:tcPr>
          <w:p w14:paraId="4397FED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新准入</w:t>
            </w:r>
          </w:p>
        </w:tc>
        <w:tc>
          <w:tcPr>
            <w:tcW w:w="1862" w:type="dxa"/>
            <w:shd w:val="clear" w:color="auto" w:fill="auto"/>
            <w:vAlign w:val="top"/>
          </w:tcPr>
          <w:p w14:paraId="72A6343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开标时请携带直径为2.3cm的瓣膜系统，此样品为综合评分的一部分，其他品规样品适当携带包含各个系列产品</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8</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2"/>
        <w:ind w:firstLine="420"/>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73521674"/>
      <w:bookmarkStart w:id="13" w:name="_Toc100052408"/>
      <w:bookmarkStart w:id="14" w:name="_Toc73521586"/>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73518158"/>
      <w:bookmarkStart w:id="18" w:name="_Toc73517680"/>
      <w:bookmarkStart w:id="19" w:name="_Toc100052409"/>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677"/>
      <w:bookmarkStart w:id="23" w:name="_Toc73521589"/>
      <w:bookmarkStart w:id="24" w:name="_Toc100052410"/>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0"/>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0"/>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A3C441A">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279FF3-CA29-4F5E-8BB5-D8CF8DE7D110}"/>
  </w:font>
  <w:font w:name="黑体">
    <w:panose1 w:val="02010609060101010101"/>
    <w:charset w:val="86"/>
    <w:family w:val="auto"/>
    <w:pitch w:val="default"/>
    <w:sig w:usb0="800002BF" w:usb1="38CF7CFA" w:usb2="00000016" w:usb3="00000000" w:csb0="00040001" w:csb1="00000000"/>
    <w:embedRegular r:id="rId2" w:fontKey="{5217A1CE-33D6-47A7-85FE-5004AB20144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21022180-D4A0-467A-A8CF-D2BFBFAEADDF}"/>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356E8F02-39B9-42A5-BB8D-927AA3C4E600}"/>
  </w:font>
  <w:font w:name="华文中宋">
    <w:panose1 w:val="02010600040101010101"/>
    <w:charset w:val="86"/>
    <w:family w:val="auto"/>
    <w:pitch w:val="default"/>
    <w:sig w:usb0="00000287" w:usb1="080F0000" w:usb2="00000000" w:usb3="00000000" w:csb0="0004009F" w:csb1="DFD70000"/>
    <w:embedRegular r:id="rId5" w:fontKey="{DBA7EFC1-04B8-42B7-9BB5-978548ACC191}"/>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45FF115C-322E-4DB8-980E-77DBBBB65A1D}"/>
  </w:font>
  <w:font w:name="方正小标宋简体">
    <w:panose1 w:val="03000509000000000000"/>
    <w:charset w:val="86"/>
    <w:family w:val="auto"/>
    <w:pitch w:val="default"/>
    <w:sig w:usb0="00000001" w:usb1="080E0000" w:usb2="00000000" w:usb3="00000000" w:csb0="00040000" w:csb1="00000000"/>
    <w:embedRegular r:id="rId7" w:fontKey="{C0F944E2-22C7-407F-8AE9-05F9BDB1AED8}"/>
  </w:font>
  <w:font w:name="微软雅黑">
    <w:panose1 w:val="020B0503020204020204"/>
    <w:charset w:val="86"/>
    <w:family w:val="swiss"/>
    <w:pitch w:val="default"/>
    <w:sig w:usb0="80000287" w:usb1="2ACF3C50" w:usb2="00000016" w:usb3="00000000" w:csb0="0004001F" w:csb1="00000000"/>
    <w:embedRegular r:id="rId8" w:fontKey="{1374BBE6-D5CE-40E9-9DD8-5D1D2F9A441A}"/>
  </w:font>
  <w:font w:name="仿宋">
    <w:panose1 w:val="02010609060101010101"/>
    <w:charset w:val="86"/>
    <w:family w:val="modern"/>
    <w:pitch w:val="default"/>
    <w:sig w:usb0="800002BF" w:usb1="38CF7CFA" w:usb2="00000016" w:usb3="00000000" w:csb0="00040001" w:csb1="00000000"/>
    <w:embedRegular r:id="rId9" w:fontKey="{64B5DAC0-F533-47EC-9C8C-55CC58868AAF}"/>
  </w:font>
  <w:font w:name="方正小标宋_GBK">
    <w:panose1 w:val="02000000000000000000"/>
    <w:charset w:val="86"/>
    <w:family w:val="script"/>
    <w:pitch w:val="default"/>
    <w:sig w:usb0="A00002BF" w:usb1="38CF7CFA" w:usb2="00082016" w:usb3="00000000" w:csb0="00040001" w:csb1="00000000"/>
    <w:embedRegular r:id="rId10" w:fontKey="{EB2A4C00-4A08-4BEB-BC10-58BE848850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A0B5886"/>
    <w:multiLevelType w:val="singleLevel"/>
    <w:tmpl w:val="5A0B5886"/>
    <w:lvl w:ilvl="0" w:tentative="0">
      <w:start w:val="1"/>
      <w:numFmt w:val="decimal"/>
      <w:suff w:val="space"/>
      <w:lvlText w:val="%1）"/>
      <w:lvlJc w:val="left"/>
    </w:lvl>
  </w:abstractNum>
  <w:abstractNum w:abstractNumId="2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5F9A95EA"/>
    <w:multiLevelType w:val="singleLevel"/>
    <w:tmpl w:val="5F9A95EA"/>
    <w:lvl w:ilvl="0" w:tentative="0">
      <w:start w:val="1"/>
      <w:numFmt w:val="decimal"/>
      <w:lvlText w:val="%1)"/>
      <w:lvlJc w:val="left"/>
      <w:pPr>
        <w:ind w:left="425" w:hanging="425"/>
      </w:pPr>
      <w:rPr>
        <w:rFonts w:hint="default"/>
      </w:rPr>
    </w:lvl>
  </w:abstractNum>
  <w:abstractNum w:abstractNumId="27">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8">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9">
    <w:nsid w:val="77D5EEE3"/>
    <w:multiLevelType w:val="singleLevel"/>
    <w:tmpl w:val="77D5EEE3"/>
    <w:lvl w:ilvl="0" w:tentative="0">
      <w:start w:val="1"/>
      <w:numFmt w:val="decimal"/>
      <w:lvlText w:val="(%1)"/>
      <w:lvlJc w:val="left"/>
      <w:pPr>
        <w:ind w:left="425" w:hanging="425"/>
      </w:pPr>
      <w:rPr>
        <w:rFonts w:hint="default"/>
      </w:rPr>
    </w:lvl>
  </w:abstractNum>
  <w:num w:numId="1">
    <w:abstractNumId w:val="28"/>
  </w:num>
  <w:num w:numId="2">
    <w:abstractNumId w:val="2"/>
  </w:num>
  <w:num w:numId="3">
    <w:abstractNumId w:val="13"/>
  </w:num>
  <w:num w:numId="4">
    <w:abstractNumId w:val="7"/>
  </w:num>
  <w:num w:numId="5">
    <w:abstractNumId w:val="15"/>
  </w:num>
  <w:num w:numId="6">
    <w:abstractNumId w:val="9"/>
  </w:num>
  <w:num w:numId="7">
    <w:abstractNumId w:val="24"/>
  </w:num>
  <w:num w:numId="8">
    <w:abstractNumId w:val="23"/>
  </w:num>
  <w:num w:numId="9">
    <w:abstractNumId w:val="22"/>
  </w:num>
  <w:num w:numId="10">
    <w:abstractNumId w:val="3"/>
  </w:num>
  <w:num w:numId="11">
    <w:abstractNumId w:val="17"/>
  </w:num>
  <w:num w:numId="12">
    <w:abstractNumId w:val="11"/>
  </w:num>
  <w:num w:numId="13">
    <w:abstractNumId w:val="10"/>
  </w:num>
  <w:num w:numId="14">
    <w:abstractNumId w:val="29"/>
  </w:num>
  <w:num w:numId="15">
    <w:abstractNumId w:val="16"/>
  </w:num>
  <w:num w:numId="16">
    <w:abstractNumId w:val="1"/>
  </w:num>
  <w:num w:numId="17">
    <w:abstractNumId w:val="26"/>
  </w:num>
  <w:num w:numId="18">
    <w:abstractNumId w:val="20"/>
  </w:num>
  <w:num w:numId="19">
    <w:abstractNumId w:val="21"/>
  </w:num>
  <w:num w:numId="20">
    <w:abstractNumId w:val="14"/>
  </w:num>
  <w:num w:numId="21">
    <w:abstractNumId w:val="19"/>
  </w:num>
  <w:num w:numId="22">
    <w:abstractNumId w:val="5"/>
  </w:num>
  <w:num w:numId="23">
    <w:abstractNumId w:val="27"/>
  </w:num>
  <w:num w:numId="24">
    <w:abstractNumId w:val="18"/>
  </w:num>
  <w:num w:numId="25">
    <w:abstractNumId w:val="8"/>
  </w:num>
  <w:num w:numId="26">
    <w:abstractNumId w:val="6"/>
  </w:num>
  <w:num w:numId="27">
    <w:abstractNumId w:val="12"/>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A05F2C"/>
    <w:rsid w:val="08403A7A"/>
    <w:rsid w:val="085546C8"/>
    <w:rsid w:val="08D058DD"/>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5D1BE5"/>
    <w:rsid w:val="10A23C41"/>
    <w:rsid w:val="117046E9"/>
    <w:rsid w:val="119A47CB"/>
    <w:rsid w:val="14175BB0"/>
    <w:rsid w:val="14882CBA"/>
    <w:rsid w:val="14922FE9"/>
    <w:rsid w:val="14EE3866"/>
    <w:rsid w:val="15180BA4"/>
    <w:rsid w:val="15420113"/>
    <w:rsid w:val="15DC43E5"/>
    <w:rsid w:val="16503E5D"/>
    <w:rsid w:val="16714F7E"/>
    <w:rsid w:val="16BA5DAD"/>
    <w:rsid w:val="171A032B"/>
    <w:rsid w:val="17324FA7"/>
    <w:rsid w:val="18510A99"/>
    <w:rsid w:val="188340A0"/>
    <w:rsid w:val="18C84236"/>
    <w:rsid w:val="190B1E92"/>
    <w:rsid w:val="19285BF1"/>
    <w:rsid w:val="19A23C56"/>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6945D6"/>
    <w:rsid w:val="20B25CBE"/>
    <w:rsid w:val="20D81D57"/>
    <w:rsid w:val="21951A7A"/>
    <w:rsid w:val="21DC5877"/>
    <w:rsid w:val="227616EA"/>
    <w:rsid w:val="249E5BD9"/>
    <w:rsid w:val="24B05A43"/>
    <w:rsid w:val="251F58B8"/>
    <w:rsid w:val="25335A76"/>
    <w:rsid w:val="257965BE"/>
    <w:rsid w:val="25897742"/>
    <w:rsid w:val="26013AFE"/>
    <w:rsid w:val="26CD4B45"/>
    <w:rsid w:val="27AB0837"/>
    <w:rsid w:val="281B3EE1"/>
    <w:rsid w:val="283C2E70"/>
    <w:rsid w:val="29B33674"/>
    <w:rsid w:val="2A04596B"/>
    <w:rsid w:val="2A1E2AB2"/>
    <w:rsid w:val="2A29419B"/>
    <w:rsid w:val="2A7D4161"/>
    <w:rsid w:val="2BBE4A09"/>
    <w:rsid w:val="2DF5037E"/>
    <w:rsid w:val="2EBE628C"/>
    <w:rsid w:val="2FA22E86"/>
    <w:rsid w:val="2FAC6889"/>
    <w:rsid w:val="310D5099"/>
    <w:rsid w:val="31321010"/>
    <w:rsid w:val="3162492F"/>
    <w:rsid w:val="31EE248D"/>
    <w:rsid w:val="33097BA0"/>
    <w:rsid w:val="340B487E"/>
    <w:rsid w:val="34627E5E"/>
    <w:rsid w:val="34876E3B"/>
    <w:rsid w:val="34D53509"/>
    <w:rsid w:val="362F5B1E"/>
    <w:rsid w:val="36607729"/>
    <w:rsid w:val="36DB2EFD"/>
    <w:rsid w:val="37295B73"/>
    <w:rsid w:val="373E02C1"/>
    <w:rsid w:val="37B27395"/>
    <w:rsid w:val="37F23808"/>
    <w:rsid w:val="38273E27"/>
    <w:rsid w:val="38AA4085"/>
    <w:rsid w:val="38DD5D05"/>
    <w:rsid w:val="39363BE6"/>
    <w:rsid w:val="3988482D"/>
    <w:rsid w:val="399D0437"/>
    <w:rsid w:val="3A736BBC"/>
    <w:rsid w:val="3AA52CC3"/>
    <w:rsid w:val="3B65303F"/>
    <w:rsid w:val="3B7E6DB2"/>
    <w:rsid w:val="3B83690E"/>
    <w:rsid w:val="3C355E58"/>
    <w:rsid w:val="3CFF2D9A"/>
    <w:rsid w:val="3D0D4208"/>
    <w:rsid w:val="3D186F6A"/>
    <w:rsid w:val="3D22593A"/>
    <w:rsid w:val="3D5460D2"/>
    <w:rsid w:val="3DEB2C72"/>
    <w:rsid w:val="3E237E24"/>
    <w:rsid w:val="3E4D1237"/>
    <w:rsid w:val="3E706D5A"/>
    <w:rsid w:val="3E9F68DA"/>
    <w:rsid w:val="3F446ADE"/>
    <w:rsid w:val="3FED5CCD"/>
    <w:rsid w:val="400D4BB3"/>
    <w:rsid w:val="40CF687B"/>
    <w:rsid w:val="411A039E"/>
    <w:rsid w:val="416D6A0E"/>
    <w:rsid w:val="417D1DC2"/>
    <w:rsid w:val="43E443EC"/>
    <w:rsid w:val="446B68BB"/>
    <w:rsid w:val="44E42F3B"/>
    <w:rsid w:val="45BB73CE"/>
    <w:rsid w:val="45C06792"/>
    <w:rsid w:val="45F33725"/>
    <w:rsid w:val="45FA003E"/>
    <w:rsid w:val="46756E72"/>
    <w:rsid w:val="46813D02"/>
    <w:rsid w:val="46C47BB7"/>
    <w:rsid w:val="473A07C7"/>
    <w:rsid w:val="474A1318"/>
    <w:rsid w:val="4923137F"/>
    <w:rsid w:val="4963275E"/>
    <w:rsid w:val="498F35C1"/>
    <w:rsid w:val="4A0A5CC7"/>
    <w:rsid w:val="4A307253"/>
    <w:rsid w:val="4A6C0158"/>
    <w:rsid w:val="4AB41B33"/>
    <w:rsid w:val="4B6824FD"/>
    <w:rsid w:val="4BDF11B3"/>
    <w:rsid w:val="4CBB3066"/>
    <w:rsid w:val="4CD51A8F"/>
    <w:rsid w:val="4D473FEB"/>
    <w:rsid w:val="4D537CF5"/>
    <w:rsid w:val="4D942511"/>
    <w:rsid w:val="4D9C70BC"/>
    <w:rsid w:val="4DBA7F6B"/>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5BA1450"/>
    <w:rsid w:val="57177BE7"/>
    <w:rsid w:val="573E4B0A"/>
    <w:rsid w:val="577E687E"/>
    <w:rsid w:val="57E119D2"/>
    <w:rsid w:val="57ED67F5"/>
    <w:rsid w:val="588D13BE"/>
    <w:rsid w:val="58E024C3"/>
    <w:rsid w:val="592E63F2"/>
    <w:rsid w:val="59462FFB"/>
    <w:rsid w:val="59F44805"/>
    <w:rsid w:val="59F6057D"/>
    <w:rsid w:val="5A292701"/>
    <w:rsid w:val="5AC3366B"/>
    <w:rsid w:val="5AD869DE"/>
    <w:rsid w:val="5AFB10E6"/>
    <w:rsid w:val="5B0248D7"/>
    <w:rsid w:val="5B5515FE"/>
    <w:rsid w:val="5B8A2737"/>
    <w:rsid w:val="5C637545"/>
    <w:rsid w:val="5C9103CC"/>
    <w:rsid w:val="5CC32BAF"/>
    <w:rsid w:val="5CDE4E52"/>
    <w:rsid w:val="5E042C8B"/>
    <w:rsid w:val="5EB034DE"/>
    <w:rsid w:val="5EC15AC0"/>
    <w:rsid w:val="5ECA1FD8"/>
    <w:rsid w:val="5EED3477"/>
    <w:rsid w:val="5F1017E6"/>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7292C52"/>
    <w:rsid w:val="67714DB8"/>
    <w:rsid w:val="677E3D99"/>
    <w:rsid w:val="67BA3663"/>
    <w:rsid w:val="682503E0"/>
    <w:rsid w:val="696B473F"/>
    <w:rsid w:val="69F6673E"/>
    <w:rsid w:val="6A194D21"/>
    <w:rsid w:val="6A480FCB"/>
    <w:rsid w:val="6B99622E"/>
    <w:rsid w:val="6BCF7654"/>
    <w:rsid w:val="6C1F1AD0"/>
    <w:rsid w:val="6C3111FA"/>
    <w:rsid w:val="6C400B72"/>
    <w:rsid w:val="6CC61070"/>
    <w:rsid w:val="6CE25242"/>
    <w:rsid w:val="6D4653C0"/>
    <w:rsid w:val="6DC009DD"/>
    <w:rsid w:val="6E5B59D0"/>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2C106F"/>
    <w:rsid w:val="7CA36E25"/>
    <w:rsid w:val="7CD30F7E"/>
    <w:rsid w:val="7D9628D3"/>
    <w:rsid w:val="7E9F427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2"/>
    <w:qFormat/>
    <w:uiPriority w:val="0"/>
    <w:rPr>
      <w:rFonts w:hint="eastAsia" w:ascii="宋体" w:hAnsi="宋体" w:eastAsia="宋体" w:cs="宋体"/>
      <w:color w:val="000000"/>
      <w:sz w:val="22"/>
      <w:szCs w:val="22"/>
      <w:u w:val="none"/>
    </w:rPr>
  </w:style>
  <w:style w:type="character" w:customStyle="1" w:styleId="81">
    <w:name w:val="font31"/>
    <w:basedOn w:val="32"/>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4276</Words>
  <Characters>4703</Characters>
  <Lines>212</Lines>
  <Paragraphs>59</Paragraphs>
  <TotalTime>14</TotalTime>
  <ScaleCrop>false</ScaleCrop>
  <LinksUpToDate>false</LinksUpToDate>
  <CharactersWithSpaces>4844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2025-08-20T00:55:23Z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