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888" w:type="pct"/>
        <w:tblInd w:w="493" w:type="dxa"/>
        <w:tblLayout w:type="autofit"/>
        <w:tblCellMar>
          <w:top w:w="0" w:type="dxa"/>
          <w:left w:w="108" w:type="dxa"/>
          <w:bottom w:w="0" w:type="dxa"/>
          <w:right w:w="108" w:type="dxa"/>
        </w:tblCellMar>
      </w:tblPr>
      <w:tblGrid>
        <w:gridCol w:w="704"/>
        <w:gridCol w:w="2255"/>
        <w:gridCol w:w="3597"/>
        <w:gridCol w:w="2102"/>
      </w:tblGrid>
      <w:tr w14:paraId="20121B5C">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41</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353"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7"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12"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431"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02"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default" w:eastAsia="宋体"/>
                <w:color w:val="000000"/>
                <w:sz w:val="22"/>
                <w:lang w:val="en-US" w:eastAsia="zh-CN"/>
              </w:rPr>
              <w:t>ZCB2025-HC41-16</w:t>
            </w:r>
            <w:r>
              <w:rPr>
                <w:rFonts w:hint="eastAsia" w:eastAsia="宋体"/>
                <w:color w:val="000000"/>
                <w:sz w:val="22"/>
                <w:lang w:val="en-US" w:eastAsia="zh-CN"/>
              </w:rPr>
              <w:t>9</w:t>
            </w:r>
          </w:p>
        </w:tc>
        <w:tc>
          <w:tcPr>
            <w:tcW w:w="2077"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rPr>
              <w:t>一次性吸引管</w:t>
            </w:r>
          </w:p>
        </w:tc>
        <w:tc>
          <w:tcPr>
            <w:tcW w:w="1212"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default" w:eastAsia="宋体"/>
                <w:color w:val="000000"/>
                <w:sz w:val="22"/>
                <w:lang w:val="en-US" w:eastAsia="zh-CN"/>
              </w:rPr>
              <w:t>急诊科</w:t>
            </w:r>
          </w:p>
        </w:tc>
      </w:tr>
      <w:tr w14:paraId="76B6B453">
        <w:tblPrEx>
          <w:tblCellMar>
            <w:top w:w="0" w:type="dxa"/>
            <w:left w:w="108" w:type="dxa"/>
            <w:bottom w:w="0" w:type="dxa"/>
            <w:right w:w="108" w:type="dxa"/>
          </w:tblCellMar>
        </w:tblPrEx>
        <w:trPr>
          <w:trHeight w:val="415"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02"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70</w:t>
            </w:r>
          </w:p>
        </w:tc>
        <w:tc>
          <w:tcPr>
            <w:tcW w:w="2077"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rPr>
              <w:t>一次性无菌胸腹腔引流导管及附件</w:t>
            </w:r>
          </w:p>
        </w:tc>
        <w:tc>
          <w:tcPr>
            <w:tcW w:w="1212"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rPr>
              <w:t>超声医学科护理组</w:t>
            </w:r>
          </w:p>
        </w:tc>
      </w:tr>
      <w:tr w14:paraId="17E9961C">
        <w:tblPrEx>
          <w:tblCellMar>
            <w:top w:w="0" w:type="dxa"/>
            <w:left w:w="108" w:type="dxa"/>
            <w:bottom w:w="0" w:type="dxa"/>
            <w:right w:w="108" w:type="dxa"/>
          </w:tblCellMar>
        </w:tblPrEx>
        <w:trPr>
          <w:trHeight w:val="400"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rPr>
            </w:pPr>
            <w:r>
              <w:rPr>
                <w:rFonts w:hint="eastAsia" w:eastAsia="宋体"/>
                <w:color w:val="000000"/>
                <w:sz w:val="22"/>
              </w:rPr>
              <w:t>3</w:t>
            </w:r>
          </w:p>
        </w:tc>
        <w:tc>
          <w:tcPr>
            <w:tcW w:w="1302"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71</w:t>
            </w:r>
          </w:p>
        </w:tc>
        <w:tc>
          <w:tcPr>
            <w:tcW w:w="2077" w:type="pct"/>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可吸收血管封合医用胶</w:t>
            </w:r>
          </w:p>
        </w:tc>
        <w:tc>
          <w:tcPr>
            <w:tcW w:w="1212" w:type="pct"/>
            <w:tcBorders>
              <w:top w:val="single" w:color="auto" w:sz="4" w:space="0"/>
              <w:left w:val="nil"/>
              <w:bottom w:val="single" w:color="auto" w:sz="4" w:space="0"/>
              <w:right w:val="single" w:color="auto" w:sz="4" w:space="0"/>
            </w:tcBorders>
            <w:shd w:val="clear" w:color="auto" w:fill="auto"/>
            <w:vAlign w:val="center"/>
          </w:tcPr>
          <w:p w14:paraId="72A9AB06">
            <w:pPr>
              <w:jc w:val="center"/>
              <w:rPr>
                <w:rFonts w:hint="eastAsia" w:eastAsia="宋体"/>
                <w:color w:val="000000"/>
                <w:sz w:val="22"/>
                <w:lang w:val="en-US" w:eastAsia="zh-CN"/>
              </w:rPr>
            </w:pPr>
            <w:r>
              <w:rPr>
                <w:rFonts w:hint="eastAsia" w:eastAsia="宋体"/>
                <w:color w:val="000000"/>
                <w:sz w:val="22"/>
              </w:rPr>
              <w:t>心脏大血管外科</w:t>
            </w:r>
          </w:p>
        </w:tc>
      </w:tr>
      <w:tr w14:paraId="2567D5A0">
        <w:tblPrEx>
          <w:tblCellMar>
            <w:top w:w="0" w:type="dxa"/>
            <w:left w:w="108" w:type="dxa"/>
            <w:bottom w:w="0" w:type="dxa"/>
            <w:right w:w="108" w:type="dxa"/>
          </w:tblCellMar>
        </w:tblPrEx>
        <w:trPr>
          <w:trHeight w:val="398"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rPr>
            </w:pPr>
            <w:r>
              <w:rPr>
                <w:rFonts w:hint="eastAsia" w:eastAsia="宋体"/>
                <w:color w:val="000000"/>
                <w:sz w:val="22"/>
              </w:rPr>
              <w:t>4</w:t>
            </w:r>
          </w:p>
        </w:tc>
        <w:tc>
          <w:tcPr>
            <w:tcW w:w="1302"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72</w:t>
            </w:r>
          </w:p>
        </w:tc>
        <w:tc>
          <w:tcPr>
            <w:tcW w:w="2077" w:type="pct"/>
            <w:tcBorders>
              <w:top w:val="single" w:color="auto" w:sz="4" w:space="0"/>
              <w:left w:val="nil"/>
              <w:bottom w:val="single" w:color="auto" w:sz="4" w:space="0"/>
              <w:right w:val="single" w:color="auto" w:sz="4" w:space="0"/>
            </w:tcBorders>
            <w:shd w:val="clear" w:color="auto" w:fill="auto"/>
            <w:vAlign w:val="center"/>
          </w:tcPr>
          <w:p w14:paraId="654907B8">
            <w:pPr>
              <w:jc w:val="center"/>
              <w:rPr>
                <w:rFonts w:hint="eastAsia" w:eastAsia="宋体"/>
                <w:color w:val="000000"/>
                <w:sz w:val="22"/>
                <w:lang w:val="en-US" w:eastAsia="zh-CN"/>
              </w:rPr>
            </w:pPr>
            <w:r>
              <w:rPr>
                <w:rFonts w:hint="eastAsia" w:eastAsia="宋体"/>
                <w:color w:val="000000"/>
                <w:sz w:val="22"/>
                <w:lang w:val="en-US" w:eastAsia="zh-CN"/>
              </w:rPr>
              <w:t>显微牵线夹</w:t>
            </w:r>
          </w:p>
        </w:tc>
        <w:tc>
          <w:tcPr>
            <w:tcW w:w="1212" w:type="pct"/>
            <w:tcBorders>
              <w:top w:val="single" w:color="auto" w:sz="4" w:space="0"/>
              <w:left w:val="nil"/>
              <w:bottom w:val="single" w:color="auto" w:sz="4" w:space="0"/>
              <w:right w:val="single" w:color="auto" w:sz="4" w:space="0"/>
            </w:tcBorders>
            <w:shd w:val="clear" w:color="auto" w:fill="auto"/>
            <w:vAlign w:val="center"/>
          </w:tcPr>
          <w:p w14:paraId="1ECFE113">
            <w:pPr>
              <w:jc w:val="center"/>
              <w:rPr>
                <w:rFonts w:hint="eastAsia" w:eastAsia="宋体"/>
                <w:color w:val="000000"/>
                <w:sz w:val="22"/>
                <w:lang w:val="en-US" w:eastAsia="zh-CN"/>
              </w:rPr>
            </w:pPr>
            <w:r>
              <w:rPr>
                <w:rFonts w:hint="eastAsia" w:eastAsia="宋体"/>
                <w:color w:val="000000"/>
                <w:sz w:val="22"/>
              </w:rPr>
              <w:t>心脏大血管外科</w:t>
            </w:r>
          </w:p>
        </w:tc>
      </w:tr>
      <w:tr w14:paraId="50F09777">
        <w:tblPrEx>
          <w:tblCellMar>
            <w:top w:w="0" w:type="dxa"/>
            <w:left w:w="108" w:type="dxa"/>
            <w:bottom w:w="0" w:type="dxa"/>
            <w:right w:w="108" w:type="dxa"/>
          </w:tblCellMar>
        </w:tblPrEx>
        <w:trPr>
          <w:trHeight w:val="398"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41A5036D">
            <w:pPr>
              <w:jc w:val="center"/>
              <w:rPr>
                <w:rFonts w:hint="eastAsia" w:eastAsia="宋体"/>
                <w:color w:val="000000"/>
                <w:sz w:val="22"/>
                <w:lang w:val="en-US" w:eastAsia="zh-CN"/>
              </w:rPr>
            </w:pPr>
            <w:r>
              <w:rPr>
                <w:rFonts w:hint="eastAsia" w:eastAsia="宋体"/>
                <w:color w:val="000000"/>
                <w:sz w:val="22"/>
                <w:lang w:val="en-US" w:eastAsia="zh-CN"/>
              </w:rPr>
              <w:t>5</w:t>
            </w:r>
          </w:p>
        </w:tc>
        <w:tc>
          <w:tcPr>
            <w:tcW w:w="1302" w:type="pct"/>
            <w:tcBorders>
              <w:top w:val="single" w:color="auto" w:sz="4" w:space="0"/>
              <w:left w:val="nil"/>
              <w:bottom w:val="single" w:color="auto" w:sz="4" w:space="0"/>
              <w:right w:val="single" w:color="auto" w:sz="4" w:space="0"/>
            </w:tcBorders>
            <w:shd w:val="clear" w:color="auto" w:fill="auto"/>
            <w:vAlign w:val="center"/>
          </w:tcPr>
          <w:p w14:paraId="16E701AA">
            <w:pPr>
              <w:jc w:val="center"/>
              <w:rPr>
                <w:rFonts w:hint="eastAsia"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73</w:t>
            </w:r>
          </w:p>
        </w:tc>
        <w:tc>
          <w:tcPr>
            <w:tcW w:w="2077" w:type="pct"/>
            <w:tcBorders>
              <w:top w:val="single" w:color="auto" w:sz="4" w:space="0"/>
              <w:left w:val="nil"/>
              <w:bottom w:val="single" w:color="auto" w:sz="4" w:space="0"/>
              <w:right w:val="single" w:color="auto" w:sz="4" w:space="0"/>
            </w:tcBorders>
            <w:shd w:val="clear" w:color="auto" w:fill="auto"/>
            <w:vAlign w:val="center"/>
          </w:tcPr>
          <w:p w14:paraId="4F919EF7">
            <w:pPr>
              <w:jc w:val="center"/>
              <w:rPr>
                <w:rFonts w:hint="eastAsia" w:eastAsia="宋体"/>
                <w:color w:val="000000"/>
                <w:sz w:val="22"/>
                <w:lang w:val="en-US" w:eastAsia="zh-CN"/>
              </w:rPr>
            </w:pPr>
            <w:r>
              <w:rPr>
                <w:rFonts w:hint="eastAsia" w:eastAsia="宋体"/>
                <w:color w:val="000000"/>
                <w:sz w:val="22"/>
                <w:lang w:val="en-US" w:eastAsia="zh-CN"/>
              </w:rPr>
              <w:t>一次性使用吸痰导管包</w:t>
            </w:r>
          </w:p>
        </w:tc>
        <w:tc>
          <w:tcPr>
            <w:tcW w:w="1212" w:type="pct"/>
            <w:tcBorders>
              <w:top w:val="single" w:color="auto" w:sz="4" w:space="0"/>
              <w:left w:val="nil"/>
              <w:bottom w:val="single" w:color="auto" w:sz="4" w:space="0"/>
              <w:right w:val="single" w:color="auto" w:sz="4" w:space="0"/>
            </w:tcBorders>
            <w:shd w:val="clear" w:color="auto" w:fill="auto"/>
            <w:vAlign w:val="center"/>
          </w:tcPr>
          <w:p w14:paraId="4B7B906E">
            <w:pPr>
              <w:jc w:val="center"/>
              <w:rPr>
                <w:rFonts w:hint="eastAsia" w:eastAsia="宋体"/>
                <w:color w:val="000000"/>
                <w:sz w:val="22"/>
                <w:lang w:val="en-US" w:eastAsia="zh-CN"/>
              </w:rPr>
            </w:pPr>
            <w:r>
              <w:rPr>
                <w:rFonts w:hint="eastAsia" w:eastAsia="宋体"/>
                <w:color w:val="000000"/>
                <w:sz w:val="22"/>
              </w:rPr>
              <w:t>心脏大血管外科</w:t>
            </w:r>
          </w:p>
        </w:tc>
      </w:tr>
    </w:tbl>
    <w:p w14:paraId="73FC8F88">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41</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bookmarkStart w:id="30" w:name="_GoBack"/>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color w:val="FF0000"/>
          <w:kern w:val="0"/>
          <w:szCs w:val="21"/>
          <w:lang w:val="en-US" w:eastAsia="zh-CN"/>
        </w:rPr>
        <w:t>41</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（一）报名时间：自公告发布之日起至2025年8月28日17：00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年年9月5日8点30分，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22</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28</w:t>
      </w:r>
      <w:r>
        <w:rPr>
          <w:rFonts w:hint="eastAsia" w:ascii="Tahoma" w:hAnsi="Tahoma" w:eastAsia="宋体" w:cs="宋体"/>
          <w:kern w:val="0"/>
          <w:szCs w:val="21"/>
          <w:highlight w:val="cyan"/>
        </w:rPr>
        <w:t>日</w:t>
      </w:r>
      <w:r>
        <w:rPr>
          <w:rFonts w:hint="eastAsia" w:ascii="Tahoma" w:hAnsi="Tahoma" w:eastAsia="宋体" w:cs="宋体"/>
          <w:kern w:val="0"/>
          <w:szCs w:val="21"/>
          <w:highlight w:val="cyan"/>
          <w:lang w:val="en-US" w:eastAsia="zh-CN"/>
        </w:rPr>
        <w:t>17</w:t>
      </w:r>
      <w:r>
        <w:rPr>
          <w:rFonts w:hint="eastAsia" w:ascii="Tahoma" w:hAnsi="Tahoma" w:eastAsia="宋体" w:cs="宋体"/>
          <w:kern w:val="0"/>
          <w:szCs w:val="21"/>
          <w:highlight w:val="cyan"/>
        </w:rPr>
        <w:t>:00，自本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586" w:tblpY="662"/>
        <w:tblOverlap w:val="never"/>
        <w:tblW w:w="51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4"/>
        <w:gridCol w:w="1018"/>
        <w:gridCol w:w="1361"/>
        <w:gridCol w:w="3321"/>
        <w:gridCol w:w="1029"/>
        <w:gridCol w:w="1286"/>
        <w:gridCol w:w="653"/>
        <w:gridCol w:w="1286"/>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07"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58"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12" w:type="pct"/>
            <w:vAlign w:val="center"/>
          </w:tcPr>
          <w:p w14:paraId="495B28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495" w:type="pct"/>
            <w:vAlign w:val="center"/>
          </w:tcPr>
          <w:p w14:paraId="62D743F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3"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78"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3"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78"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07"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ZCB2025-HC41-16</w:t>
            </w:r>
            <w:r>
              <w:rPr>
                <w:rFonts w:hint="eastAsia" w:asciiTheme="majorEastAsia" w:hAnsiTheme="majorEastAsia" w:eastAsiaTheme="majorEastAsia" w:cstheme="majorEastAsia"/>
                <w:i w:val="0"/>
                <w:iCs w:val="0"/>
                <w:color w:val="000000"/>
                <w:kern w:val="0"/>
                <w:sz w:val="20"/>
                <w:szCs w:val="20"/>
                <w:u w:val="none"/>
                <w:lang w:val="en-US" w:eastAsia="zh-CN" w:bidi="ar"/>
              </w:rPr>
              <w:t>9</w:t>
            </w:r>
          </w:p>
        </w:tc>
        <w:tc>
          <w:tcPr>
            <w:tcW w:w="458"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一次性吸引管</w:t>
            </w:r>
          </w:p>
        </w:tc>
        <w:tc>
          <w:tcPr>
            <w:tcW w:w="612" w:type="pct"/>
            <w:shd w:val="clear" w:color="auto" w:fill="auto"/>
            <w:vAlign w:val="center"/>
          </w:tcPr>
          <w:p w14:paraId="2FAAEB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82</w:t>
            </w:r>
          </w:p>
        </w:tc>
        <w:tc>
          <w:tcPr>
            <w:tcW w:w="1495" w:type="pct"/>
            <w:shd w:val="clear" w:color="auto" w:fill="auto"/>
            <w:vAlign w:val="center"/>
          </w:tcPr>
          <w:p w14:paraId="2BF5F15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1、进液管长度 1250士50 mm，管径6±1mm，接头内径8±1mm，带有滤水接头。</w:t>
            </w:r>
          </w:p>
          <w:p w14:paraId="3D99DA2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3、排液管长度1550+50mm，管内径8+1mm，接头内经 10±1mm，带有排水沉头。</w:t>
            </w:r>
          </w:p>
          <w:p w14:paraId="7AF6A1D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4、进出胃管为Y型管设计，长度170+50mm，接头内径8.5士2mm。</w:t>
            </w:r>
          </w:p>
          <w:p w14:paraId="61C0688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5、管路材质为PVC，一次性使用。</w:t>
            </w:r>
          </w:p>
          <w:p w14:paraId="54051F14">
            <w:pPr>
              <w:widowControl/>
              <w:jc w:val="both"/>
              <w:rPr>
                <w:rFonts w:hint="default"/>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6、适配于医院在用的同业SCII型自动洗胃机。</w:t>
            </w:r>
          </w:p>
        </w:tc>
        <w:tc>
          <w:tcPr>
            <w:tcW w:w="463" w:type="pct"/>
            <w:vAlign w:val="center"/>
          </w:tcPr>
          <w:p w14:paraId="244C39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3454627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78" w:type="pct"/>
            <w:vAlign w:val="top"/>
          </w:tcPr>
          <w:p w14:paraId="2E7A1C56">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07"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70</w:t>
            </w:r>
          </w:p>
        </w:tc>
        <w:tc>
          <w:tcPr>
            <w:tcW w:w="458"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一次性无菌胸腹腔引流导管及附件</w:t>
            </w:r>
          </w:p>
        </w:tc>
        <w:tc>
          <w:tcPr>
            <w:tcW w:w="612" w:type="pct"/>
            <w:shd w:val="clear" w:color="auto" w:fill="auto"/>
            <w:vAlign w:val="center"/>
          </w:tcPr>
          <w:p w14:paraId="3BF328E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1495" w:type="pct"/>
            <w:shd w:val="clear" w:color="auto" w:fill="auto"/>
            <w:vAlign w:val="center"/>
          </w:tcPr>
          <w:p w14:paraId="34977E1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1.产品由导管和导丝、扩张器等组成：导管材质为聚氨酯；</w:t>
            </w:r>
          </w:p>
          <w:p w14:paraId="1B3BE29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2.导管前端具有直形和弯形等型号，具有防堵多侧孔特点；</w:t>
            </w:r>
          </w:p>
          <w:p w14:paraId="51B6AC5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3.导管具有多种型号可满足临床需求。管径6F--12F，长度20--30cm±1mm；导丝直径范围0.018--0.035inch；导管管体：有相应的刻度标志，易于掌握置管深度；扩张器：（1-2）5-12F；导引穿刺针：18G；</w:t>
            </w:r>
          </w:p>
          <w:p w14:paraId="4AFECF5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4.产品以无菌形式提供，一次性使用，有效期不小于36个月。</w:t>
            </w:r>
          </w:p>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5.适配于医院在用的GE LOGIQ E9设备使用。</w:t>
            </w:r>
          </w:p>
        </w:tc>
        <w:tc>
          <w:tcPr>
            <w:tcW w:w="463" w:type="pct"/>
            <w:vAlign w:val="center"/>
          </w:tcPr>
          <w:p w14:paraId="01E6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7886359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超声医学科护理组</w:t>
            </w:r>
          </w:p>
        </w:tc>
        <w:tc>
          <w:tcPr>
            <w:tcW w:w="578"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8F的导管及其配套的全部附件</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1843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7076162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07" w:type="pct"/>
            <w:shd w:val="clear" w:color="auto" w:fill="auto"/>
            <w:vAlign w:val="center"/>
          </w:tcPr>
          <w:p w14:paraId="5A0EFC8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71</w:t>
            </w:r>
          </w:p>
        </w:tc>
        <w:tc>
          <w:tcPr>
            <w:tcW w:w="458" w:type="pct"/>
            <w:shd w:val="clear" w:color="auto" w:fill="auto"/>
            <w:vAlign w:val="center"/>
          </w:tcPr>
          <w:p w14:paraId="7C1A338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可吸收血管封合医用胶</w:t>
            </w:r>
          </w:p>
        </w:tc>
        <w:tc>
          <w:tcPr>
            <w:tcW w:w="612" w:type="pct"/>
            <w:shd w:val="clear" w:color="auto" w:fill="auto"/>
            <w:vAlign w:val="center"/>
          </w:tcPr>
          <w:p w14:paraId="4643214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2975</w:t>
            </w:r>
          </w:p>
        </w:tc>
        <w:tc>
          <w:tcPr>
            <w:tcW w:w="1495" w:type="pct"/>
            <w:shd w:val="clear" w:color="auto" w:fill="auto"/>
            <w:vAlign w:val="center"/>
          </w:tcPr>
          <w:p w14:paraId="7782EF2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（1）破裂强度应不低于200mmHg，溶胀率应不大于自身重量的400%；</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（2）粘合强度：对凝胶施加200mmHg压力，维持时间大于10min不脱落、不渗漏；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（3）细胞内毒素：细菌内毒素含量应小于2.15EU/件；</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（4）产品无菌、无热原、无亚慢毒性、无遗传毒性；</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（5）产品可在4周内降解完全，符合GB/T 16886系列标准。</w:t>
            </w:r>
          </w:p>
        </w:tc>
        <w:tc>
          <w:tcPr>
            <w:tcW w:w="463" w:type="pct"/>
            <w:vAlign w:val="center"/>
          </w:tcPr>
          <w:p w14:paraId="563468D6">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2DDB936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3EFFE8A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29E2D89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A98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B1CCBA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07" w:type="pct"/>
            <w:shd w:val="clear" w:color="auto" w:fill="auto"/>
            <w:vAlign w:val="center"/>
          </w:tcPr>
          <w:p w14:paraId="4E15864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72</w:t>
            </w:r>
          </w:p>
        </w:tc>
        <w:tc>
          <w:tcPr>
            <w:tcW w:w="458" w:type="pct"/>
            <w:shd w:val="clear" w:color="auto" w:fill="auto"/>
            <w:vAlign w:val="center"/>
          </w:tcPr>
          <w:p w14:paraId="6B78600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显微牵线夹</w:t>
            </w:r>
          </w:p>
        </w:tc>
        <w:tc>
          <w:tcPr>
            <w:tcW w:w="612" w:type="pct"/>
            <w:shd w:val="clear" w:color="auto" w:fill="auto"/>
            <w:vAlign w:val="center"/>
          </w:tcPr>
          <w:p w14:paraId="440A585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w:t>
            </w:r>
          </w:p>
        </w:tc>
        <w:tc>
          <w:tcPr>
            <w:tcW w:w="1495" w:type="pct"/>
            <w:shd w:val="clear" w:color="auto" w:fill="auto"/>
            <w:vAlign w:val="center"/>
          </w:tcPr>
          <w:p w14:paraId="5ADEB96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1.用于显微手术时夹持牵引线；</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2.采用不锈钢材料制成；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3.有大中小等多种型号可选；</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4.长不小于200mm，不大于250mm；直径0.6.-0.8mm</w:t>
            </w:r>
          </w:p>
        </w:tc>
        <w:tc>
          <w:tcPr>
            <w:tcW w:w="463" w:type="pct"/>
            <w:vAlign w:val="center"/>
          </w:tcPr>
          <w:p w14:paraId="07A1ACF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7D13F1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否（如后续纳入挂网范围须无条件挂网签订合同）</w:t>
            </w:r>
          </w:p>
        </w:tc>
        <w:tc>
          <w:tcPr>
            <w:tcW w:w="293" w:type="pct"/>
            <w:shd w:val="clear" w:color="auto" w:fill="auto"/>
            <w:vAlign w:val="center"/>
          </w:tcPr>
          <w:p w14:paraId="437A5BA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34859200">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中号（M）</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22BE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7C5C12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07" w:type="pct"/>
            <w:shd w:val="clear" w:color="auto" w:fill="auto"/>
            <w:vAlign w:val="center"/>
          </w:tcPr>
          <w:p w14:paraId="2888C01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73</w:t>
            </w:r>
          </w:p>
        </w:tc>
        <w:tc>
          <w:tcPr>
            <w:tcW w:w="458" w:type="pct"/>
            <w:shd w:val="clear" w:color="auto" w:fill="auto"/>
            <w:vAlign w:val="center"/>
          </w:tcPr>
          <w:p w14:paraId="5994F72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一次性使用吸痰导管包</w:t>
            </w:r>
          </w:p>
        </w:tc>
        <w:tc>
          <w:tcPr>
            <w:tcW w:w="612" w:type="pct"/>
            <w:shd w:val="clear" w:color="auto" w:fill="auto"/>
            <w:vAlign w:val="center"/>
          </w:tcPr>
          <w:p w14:paraId="77B4652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85/</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58/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w:t>
            </w:r>
          </w:p>
        </w:tc>
        <w:tc>
          <w:tcPr>
            <w:tcW w:w="1495" w:type="pct"/>
            <w:shd w:val="clear" w:color="auto" w:fill="auto"/>
            <w:vAlign w:val="center"/>
          </w:tcPr>
          <w:p w14:paraId="1760D2B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1、产品由一次性使用吸痰管、一次性使用负压吸引瓶、一次性使用吸引连接管、一次性使用清洗杯、一次性使用薄膜手套及一次性使用无纺布等组成。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2、产品引流瓶材质为PP或者PC塑料。</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3、产品须配备吸痰护理包所需物品及吸痰管。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4、吸引瓶瓶身具备刻度条。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5、配有防污染的堵头及挂钩。</w:t>
            </w:r>
          </w:p>
        </w:tc>
        <w:tc>
          <w:tcPr>
            <w:tcW w:w="463" w:type="pct"/>
            <w:vAlign w:val="center"/>
          </w:tcPr>
          <w:p w14:paraId="448A9BA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303BAEA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56D672A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628BBE6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4632DD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21日</w:t>
      </w:r>
    </w:p>
    <w:bookmarkEnd w:id="30"/>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对新准入和替换的</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586" w:tblpY="662"/>
        <w:tblOverlap w:val="never"/>
        <w:tblW w:w="51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4"/>
        <w:gridCol w:w="1018"/>
        <w:gridCol w:w="1361"/>
        <w:gridCol w:w="3321"/>
        <w:gridCol w:w="1029"/>
        <w:gridCol w:w="1286"/>
        <w:gridCol w:w="653"/>
        <w:gridCol w:w="1286"/>
      </w:tblGrid>
      <w:tr w14:paraId="3DC1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8B5253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07" w:type="pct"/>
            <w:vAlign w:val="center"/>
          </w:tcPr>
          <w:p w14:paraId="0F063FF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58" w:type="pct"/>
            <w:vAlign w:val="center"/>
          </w:tcPr>
          <w:p w14:paraId="09A14E0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12" w:type="pct"/>
            <w:vAlign w:val="center"/>
          </w:tcPr>
          <w:p w14:paraId="5266F50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495" w:type="pct"/>
            <w:vAlign w:val="center"/>
          </w:tcPr>
          <w:p w14:paraId="5CDF254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3" w:type="pct"/>
            <w:vAlign w:val="center"/>
          </w:tcPr>
          <w:p w14:paraId="7340EC7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78" w:type="pct"/>
            <w:vAlign w:val="center"/>
          </w:tcPr>
          <w:p w14:paraId="6278D50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3" w:type="pct"/>
          </w:tcPr>
          <w:p w14:paraId="5F446BF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78" w:type="pct"/>
          </w:tcPr>
          <w:p w14:paraId="46CFBC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AD0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70FE2A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07" w:type="pct"/>
            <w:shd w:val="clear" w:color="auto" w:fill="auto"/>
            <w:vAlign w:val="center"/>
          </w:tcPr>
          <w:p w14:paraId="3E480A2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ZCB2025-HC41-16</w:t>
            </w:r>
            <w:r>
              <w:rPr>
                <w:rFonts w:hint="eastAsia" w:asciiTheme="majorEastAsia" w:hAnsiTheme="majorEastAsia" w:eastAsiaTheme="majorEastAsia" w:cstheme="majorEastAsia"/>
                <w:i w:val="0"/>
                <w:iCs w:val="0"/>
                <w:color w:val="000000"/>
                <w:kern w:val="0"/>
                <w:sz w:val="20"/>
                <w:szCs w:val="20"/>
                <w:u w:val="none"/>
                <w:lang w:val="en-US" w:eastAsia="zh-CN" w:bidi="ar"/>
              </w:rPr>
              <w:t>9</w:t>
            </w:r>
          </w:p>
        </w:tc>
        <w:tc>
          <w:tcPr>
            <w:tcW w:w="458" w:type="pct"/>
            <w:shd w:val="clear" w:color="auto" w:fill="auto"/>
            <w:vAlign w:val="center"/>
          </w:tcPr>
          <w:p w14:paraId="6A8A8BC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一次性吸引管</w:t>
            </w:r>
          </w:p>
        </w:tc>
        <w:tc>
          <w:tcPr>
            <w:tcW w:w="612" w:type="pct"/>
            <w:shd w:val="clear" w:color="auto" w:fill="auto"/>
            <w:vAlign w:val="center"/>
          </w:tcPr>
          <w:p w14:paraId="00FE5CA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82</w:t>
            </w:r>
          </w:p>
        </w:tc>
        <w:tc>
          <w:tcPr>
            <w:tcW w:w="1495" w:type="pct"/>
            <w:shd w:val="clear" w:color="auto" w:fill="auto"/>
            <w:vAlign w:val="center"/>
          </w:tcPr>
          <w:p w14:paraId="6792B3E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1、进液管长度 1250士50 mm，管径6±1mm，接头内径8±1mm，带有滤水接头。</w:t>
            </w:r>
          </w:p>
          <w:p w14:paraId="236F0B7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3、排液管长度1550+50mm，管内径8+1mm，接头内经 10±1mm，带有排水沉头。</w:t>
            </w:r>
          </w:p>
          <w:p w14:paraId="7BD90F5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4、进出胃管为Y型管设计，长度170+50mm，接头内径8.5士2mm。</w:t>
            </w:r>
          </w:p>
          <w:p w14:paraId="1D775E4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5、管路材质为PVC，一次性使用。</w:t>
            </w:r>
          </w:p>
          <w:p w14:paraId="27F11CB2">
            <w:pPr>
              <w:widowControl/>
              <w:jc w:val="both"/>
              <w:rPr>
                <w:rFonts w:hint="default"/>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6、适配于医院在用的同业SCII型自动洗胃机。</w:t>
            </w:r>
          </w:p>
        </w:tc>
        <w:tc>
          <w:tcPr>
            <w:tcW w:w="463" w:type="pct"/>
            <w:vAlign w:val="center"/>
          </w:tcPr>
          <w:p w14:paraId="05ABE83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24176FD6">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1D6F7F8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78" w:type="pct"/>
            <w:vAlign w:val="top"/>
          </w:tcPr>
          <w:p w14:paraId="4A8B4F92">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2C93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9D9C8B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07" w:type="pct"/>
            <w:shd w:val="clear" w:color="auto" w:fill="auto"/>
            <w:vAlign w:val="center"/>
          </w:tcPr>
          <w:p w14:paraId="75ABE2F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70</w:t>
            </w:r>
          </w:p>
        </w:tc>
        <w:tc>
          <w:tcPr>
            <w:tcW w:w="458" w:type="pct"/>
            <w:shd w:val="clear" w:color="auto" w:fill="auto"/>
            <w:vAlign w:val="center"/>
          </w:tcPr>
          <w:p w14:paraId="137610F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一次性无菌胸腹腔引流导管及附件</w:t>
            </w:r>
          </w:p>
        </w:tc>
        <w:tc>
          <w:tcPr>
            <w:tcW w:w="612" w:type="pct"/>
            <w:shd w:val="clear" w:color="auto" w:fill="auto"/>
            <w:vAlign w:val="center"/>
          </w:tcPr>
          <w:p w14:paraId="1808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1495" w:type="pct"/>
            <w:shd w:val="clear" w:color="auto" w:fill="auto"/>
            <w:vAlign w:val="center"/>
          </w:tcPr>
          <w:p w14:paraId="175E293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1.产品由导管和导丝、扩张器等组成：导管材质为聚氨酯；</w:t>
            </w:r>
          </w:p>
          <w:p w14:paraId="2BACC11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2.导管前端具有直形和弯形等型号，具有防堵多侧孔特点；</w:t>
            </w:r>
          </w:p>
          <w:p w14:paraId="76E605A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3.导管具有多种型号可满足临床需求。管径6F--12F，长度20--30cm±1mm；导丝直径范围0.018--0.035inch；导管管体：有相应的刻度标志，易于掌握置管深度；扩张器：（1-2）5-12F；导引穿刺针：18G；</w:t>
            </w:r>
          </w:p>
          <w:p w14:paraId="6D2B6A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4.产品以无菌形式提供，一次性使用，有效期不小于36个月。</w:t>
            </w:r>
          </w:p>
          <w:p w14:paraId="1DC20D7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5.适配于医院在用的GE LOGIQ E9设备使用。</w:t>
            </w:r>
          </w:p>
        </w:tc>
        <w:tc>
          <w:tcPr>
            <w:tcW w:w="463" w:type="pct"/>
            <w:vAlign w:val="center"/>
          </w:tcPr>
          <w:p w14:paraId="4FA9835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7944B3A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0C914C3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超声医学科护理组</w:t>
            </w:r>
          </w:p>
        </w:tc>
        <w:tc>
          <w:tcPr>
            <w:tcW w:w="578" w:type="pct"/>
            <w:vAlign w:val="top"/>
          </w:tcPr>
          <w:p w14:paraId="5454EC3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8F的导管及其配套的全部附件</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03FB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21E6591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07" w:type="pct"/>
            <w:shd w:val="clear" w:color="auto" w:fill="auto"/>
            <w:vAlign w:val="center"/>
          </w:tcPr>
          <w:p w14:paraId="061F77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71</w:t>
            </w:r>
          </w:p>
        </w:tc>
        <w:tc>
          <w:tcPr>
            <w:tcW w:w="458" w:type="pct"/>
            <w:shd w:val="clear" w:color="auto" w:fill="auto"/>
            <w:vAlign w:val="center"/>
          </w:tcPr>
          <w:p w14:paraId="1B8566B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可吸收血管封合医用胶</w:t>
            </w:r>
          </w:p>
        </w:tc>
        <w:tc>
          <w:tcPr>
            <w:tcW w:w="612" w:type="pct"/>
            <w:shd w:val="clear" w:color="auto" w:fill="auto"/>
            <w:vAlign w:val="center"/>
          </w:tcPr>
          <w:p w14:paraId="555BBAE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2975</w:t>
            </w:r>
          </w:p>
        </w:tc>
        <w:tc>
          <w:tcPr>
            <w:tcW w:w="1495" w:type="pct"/>
            <w:shd w:val="clear" w:color="auto" w:fill="auto"/>
            <w:vAlign w:val="center"/>
          </w:tcPr>
          <w:p w14:paraId="063FAD1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（1）破裂强度应不低于200mmHg，溶胀率应不大于自身重量的400%；</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（2）粘合强度：对凝胶施加200mmHg压力，维持时间大于10min不脱落、不渗漏；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（3）细胞内毒素：细菌内毒素含量应小于2.15EU/件；</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（4）产品无菌、无热原、无亚慢毒性、无遗传毒性；</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（5）产品可在4周内降解完全，符合GB/T 16886系列标准。</w:t>
            </w:r>
          </w:p>
        </w:tc>
        <w:tc>
          <w:tcPr>
            <w:tcW w:w="463" w:type="pct"/>
            <w:vAlign w:val="center"/>
          </w:tcPr>
          <w:p w14:paraId="5871F92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4CB3A35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05E8836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2D95EF0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16C7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6664C90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07" w:type="pct"/>
            <w:shd w:val="clear" w:color="auto" w:fill="auto"/>
            <w:vAlign w:val="center"/>
          </w:tcPr>
          <w:p w14:paraId="318EFF0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72</w:t>
            </w:r>
          </w:p>
        </w:tc>
        <w:tc>
          <w:tcPr>
            <w:tcW w:w="458" w:type="pct"/>
            <w:shd w:val="clear" w:color="auto" w:fill="auto"/>
            <w:vAlign w:val="center"/>
          </w:tcPr>
          <w:p w14:paraId="7188A3D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显微牵线夹</w:t>
            </w:r>
          </w:p>
        </w:tc>
        <w:tc>
          <w:tcPr>
            <w:tcW w:w="612" w:type="pct"/>
            <w:shd w:val="clear" w:color="auto" w:fill="auto"/>
            <w:vAlign w:val="center"/>
          </w:tcPr>
          <w:p w14:paraId="1C2A1B0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w:t>
            </w:r>
          </w:p>
        </w:tc>
        <w:tc>
          <w:tcPr>
            <w:tcW w:w="1495" w:type="pct"/>
            <w:shd w:val="clear" w:color="auto" w:fill="auto"/>
            <w:vAlign w:val="center"/>
          </w:tcPr>
          <w:p w14:paraId="3852F8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1.用于显微手术时夹持牵引线；</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2.采用不锈钢材料制成；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3.有大中小等多种型号可选；</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4.长不小于200mm，不大于250mm；直径0.6.-0.8mm</w:t>
            </w:r>
          </w:p>
        </w:tc>
        <w:tc>
          <w:tcPr>
            <w:tcW w:w="463" w:type="pct"/>
            <w:vAlign w:val="center"/>
          </w:tcPr>
          <w:p w14:paraId="2138860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991846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否（如后续纳入挂网范围须无条件挂网签订合同）</w:t>
            </w:r>
          </w:p>
        </w:tc>
        <w:tc>
          <w:tcPr>
            <w:tcW w:w="293" w:type="pct"/>
            <w:shd w:val="clear" w:color="auto" w:fill="auto"/>
            <w:vAlign w:val="center"/>
          </w:tcPr>
          <w:p w14:paraId="6560119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3E236AD6">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中号（M）</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23B8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7F3F90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07" w:type="pct"/>
            <w:shd w:val="clear" w:color="auto" w:fill="auto"/>
            <w:vAlign w:val="center"/>
          </w:tcPr>
          <w:p w14:paraId="2345224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73</w:t>
            </w:r>
          </w:p>
        </w:tc>
        <w:tc>
          <w:tcPr>
            <w:tcW w:w="458" w:type="pct"/>
            <w:shd w:val="clear" w:color="auto" w:fill="auto"/>
            <w:vAlign w:val="center"/>
          </w:tcPr>
          <w:p w14:paraId="72A70B7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一次性使用吸痰导管包</w:t>
            </w:r>
          </w:p>
        </w:tc>
        <w:tc>
          <w:tcPr>
            <w:tcW w:w="612" w:type="pct"/>
            <w:shd w:val="clear" w:color="auto" w:fill="auto"/>
            <w:vAlign w:val="center"/>
          </w:tcPr>
          <w:p w14:paraId="075A0C6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85/</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58/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w:t>
            </w:r>
          </w:p>
        </w:tc>
        <w:tc>
          <w:tcPr>
            <w:tcW w:w="1495" w:type="pct"/>
            <w:shd w:val="clear" w:color="auto" w:fill="auto"/>
            <w:vAlign w:val="center"/>
          </w:tcPr>
          <w:p w14:paraId="4378E76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1、产品由一次性使用吸痰管、一次性使用负压吸引瓶、一次性使用吸引连接管、一次性使用清洗杯、一次性使用薄膜手套及一次性使用无纺布等组成。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2、产品引流瓶材质为PP或者PC塑料。</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3、产品须配备吸痰护理包所需物品及吸痰管。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4、吸引瓶瓶身具备刻度条。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5、配有防污染的堵头及挂钩。</w:t>
            </w:r>
          </w:p>
        </w:tc>
        <w:tc>
          <w:tcPr>
            <w:tcW w:w="463" w:type="pct"/>
            <w:vAlign w:val="center"/>
          </w:tcPr>
          <w:p w14:paraId="2A6978A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6256E86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20B43AE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1DAF1B9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8</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100052408"/>
      <w:bookmarkStart w:id="13" w:name="_Toc73521586"/>
      <w:bookmarkStart w:id="14" w:name="_Toc73521674"/>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73517680"/>
      <w:bookmarkStart w:id="18" w:name="_Toc73521587"/>
      <w:bookmarkStart w:id="19" w:name="_Toc100052409"/>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21589"/>
      <w:bookmarkStart w:id="23" w:name="_Toc73521677"/>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7A00A2E1">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BB74E75-4753-4D55-8BAF-CBE4C53AE711}"/>
  </w:font>
  <w:font w:name="黑体">
    <w:panose1 w:val="02010609060101010101"/>
    <w:charset w:val="86"/>
    <w:family w:val="auto"/>
    <w:pitch w:val="default"/>
    <w:sig w:usb0="800002BF" w:usb1="38CF7CFA" w:usb2="00000016" w:usb3="00000000" w:csb0="00040001" w:csb1="00000000"/>
    <w:embedRegular r:id="rId2" w:fontKey="{43395EF3-DA8E-4789-BDDF-88B000F9E3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5A97F8A-5392-4206-9F9E-8A84ED25298C}"/>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F8A222DB-A07B-4A00-AF7E-8150F0105953}"/>
  </w:font>
  <w:font w:name="华文中宋">
    <w:panose1 w:val="02010600040101010101"/>
    <w:charset w:val="86"/>
    <w:family w:val="auto"/>
    <w:pitch w:val="default"/>
    <w:sig w:usb0="00000287" w:usb1="080F0000" w:usb2="00000000" w:usb3="00000000" w:csb0="0004009F" w:csb1="DFD70000"/>
    <w:embedRegular r:id="rId5" w:fontKey="{B02F2900-8741-41DE-8100-0270413E1C4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21A30EF6-9207-4EDA-82C1-B002F528276B}"/>
  </w:font>
  <w:font w:name="方正小标宋简体">
    <w:panose1 w:val="03000509000000000000"/>
    <w:charset w:val="86"/>
    <w:family w:val="auto"/>
    <w:pitch w:val="default"/>
    <w:sig w:usb0="00000001" w:usb1="080E0000" w:usb2="00000000" w:usb3="00000000" w:csb0="00040000" w:csb1="00000000"/>
    <w:embedRegular r:id="rId7" w:fontKey="{224573B0-6F6C-4B03-AA4D-2958FE43263E}"/>
  </w:font>
  <w:font w:name="微软雅黑">
    <w:panose1 w:val="020B0503020204020204"/>
    <w:charset w:val="86"/>
    <w:family w:val="swiss"/>
    <w:pitch w:val="default"/>
    <w:sig w:usb0="80000287" w:usb1="2ACF3C50" w:usb2="00000016" w:usb3="00000000" w:csb0="0004001F" w:csb1="00000000"/>
    <w:embedRegular r:id="rId8" w:fontKey="{16DDDECD-77D7-48FA-AA47-8FE5ABD9015A}"/>
  </w:font>
  <w:font w:name="仿宋">
    <w:panose1 w:val="02010609060101010101"/>
    <w:charset w:val="86"/>
    <w:family w:val="modern"/>
    <w:pitch w:val="default"/>
    <w:sig w:usb0="800002BF" w:usb1="38CF7CFA" w:usb2="00000016" w:usb3="00000000" w:csb0="00040001" w:csb1="00000000"/>
    <w:embedRegular r:id="rId9" w:fontKey="{0A376D76-D54A-46BB-9ABB-DD90CEAC4E55}"/>
  </w:font>
  <w:font w:name="方正小标宋_GBK">
    <w:panose1 w:val="03000509000000000000"/>
    <w:charset w:val="86"/>
    <w:family w:val="script"/>
    <w:pitch w:val="default"/>
    <w:sig w:usb0="00000001" w:usb1="080E0000" w:usb2="00000000" w:usb3="00000000" w:csb0="00040000" w:csb1="00000000"/>
    <w:embedRegular r:id="rId10" w:fontKey="{11FEEBA8-9F1E-4F73-84A3-B7B7E0301C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CD563F7"/>
    <w:rsid w:val="0E085C48"/>
    <w:rsid w:val="0EBB3AA4"/>
    <w:rsid w:val="0FAD08ED"/>
    <w:rsid w:val="100D0676"/>
    <w:rsid w:val="10A23C41"/>
    <w:rsid w:val="11113C16"/>
    <w:rsid w:val="119A47CB"/>
    <w:rsid w:val="13A63ACA"/>
    <w:rsid w:val="14175BB0"/>
    <w:rsid w:val="14882CBA"/>
    <w:rsid w:val="14922FE9"/>
    <w:rsid w:val="14E75DFB"/>
    <w:rsid w:val="14EE3866"/>
    <w:rsid w:val="15180BA4"/>
    <w:rsid w:val="15420113"/>
    <w:rsid w:val="15DC43E5"/>
    <w:rsid w:val="15EA1883"/>
    <w:rsid w:val="16503E5D"/>
    <w:rsid w:val="16714F7E"/>
    <w:rsid w:val="16BA5DAD"/>
    <w:rsid w:val="171A032B"/>
    <w:rsid w:val="17324FA7"/>
    <w:rsid w:val="18510A99"/>
    <w:rsid w:val="188340A0"/>
    <w:rsid w:val="18C84236"/>
    <w:rsid w:val="190B1E92"/>
    <w:rsid w:val="19285BF1"/>
    <w:rsid w:val="19A23C56"/>
    <w:rsid w:val="19B61E14"/>
    <w:rsid w:val="19EA176D"/>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1F1A4B"/>
    <w:rsid w:val="249E5BD9"/>
    <w:rsid w:val="24B05A43"/>
    <w:rsid w:val="251F58B8"/>
    <w:rsid w:val="25335A76"/>
    <w:rsid w:val="257965BE"/>
    <w:rsid w:val="25897742"/>
    <w:rsid w:val="26013AFE"/>
    <w:rsid w:val="26CD4B45"/>
    <w:rsid w:val="274E2D73"/>
    <w:rsid w:val="27AB0837"/>
    <w:rsid w:val="281B3EE1"/>
    <w:rsid w:val="283C2E70"/>
    <w:rsid w:val="296A3769"/>
    <w:rsid w:val="29B33674"/>
    <w:rsid w:val="2A04596B"/>
    <w:rsid w:val="2A1E2AB2"/>
    <w:rsid w:val="2A29419B"/>
    <w:rsid w:val="2A7D4161"/>
    <w:rsid w:val="2BBE4A09"/>
    <w:rsid w:val="2D305785"/>
    <w:rsid w:val="2DF5037E"/>
    <w:rsid w:val="2EBE628C"/>
    <w:rsid w:val="2FA22E86"/>
    <w:rsid w:val="310D5099"/>
    <w:rsid w:val="31321010"/>
    <w:rsid w:val="3162492F"/>
    <w:rsid w:val="31EE248D"/>
    <w:rsid w:val="33097BA0"/>
    <w:rsid w:val="340B487E"/>
    <w:rsid w:val="34627E5E"/>
    <w:rsid w:val="34876E3B"/>
    <w:rsid w:val="34D53509"/>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E443EC"/>
    <w:rsid w:val="446B68BB"/>
    <w:rsid w:val="44E42F3B"/>
    <w:rsid w:val="45BB73CE"/>
    <w:rsid w:val="45C06792"/>
    <w:rsid w:val="45F33725"/>
    <w:rsid w:val="45FA003E"/>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7177BE7"/>
    <w:rsid w:val="573E4B0A"/>
    <w:rsid w:val="577E687E"/>
    <w:rsid w:val="57E119D2"/>
    <w:rsid w:val="57ED67F5"/>
    <w:rsid w:val="588D13BE"/>
    <w:rsid w:val="58C252AC"/>
    <w:rsid w:val="58E024C3"/>
    <w:rsid w:val="592E63F2"/>
    <w:rsid w:val="59462FFB"/>
    <w:rsid w:val="59F44805"/>
    <w:rsid w:val="59F6057D"/>
    <w:rsid w:val="5A292701"/>
    <w:rsid w:val="5AC3366B"/>
    <w:rsid w:val="5AD869DE"/>
    <w:rsid w:val="5AFB10E6"/>
    <w:rsid w:val="5B0248D7"/>
    <w:rsid w:val="5B5515FE"/>
    <w:rsid w:val="5C637545"/>
    <w:rsid w:val="5C9103CC"/>
    <w:rsid w:val="5CC32BAF"/>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6CE658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843F52"/>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EF202FF"/>
    <w:rsid w:val="7F0F7867"/>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default" w:ascii="Times New Roman" w:hAnsi="Times New Roman" w:cs="Times New Roman"/>
      <w:color w:val="000000"/>
      <w:sz w:val="22"/>
      <w:szCs w:val="22"/>
      <w:u w:val="none"/>
    </w:rPr>
  </w:style>
  <w:style w:type="character" w:customStyle="1" w:styleId="82">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3596</Words>
  <Characters>4030</Characters>
  <Lines>212</Lines>
  <Paragraphs>59</Paragraphs>
  <TotalTime>0</TotalTime>
  <ScaleCrop>false</ScaleCrop>
  <LinksUpToDate>false</LinksUpToDate>
  <CharactersWithSpaces>4066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2025-08-21T08:52:01Z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