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888" w:type="pct"/>
        <w:tblInd w:w="493" w:type="dxa"/>
        <w:tblLayout w:type="autofit"/>
        <w:tblCellMar>
          <w:top w:w="0" w:type="dxa"/>
          <w:left w:w="108" w:type="dxa"/>
          <w:bottom w:w="0" w:type="dxa"/>
          <w:right w:w="108" w:type="dxa"/>
        </w:tblCellMar>
      </w:tblPr>
      <w:tblGrid>
        <w:gridCol w:w="704"/>
        <w:gridCol w:w="2255"/>
        <w:gridCol w:w="3597"/>
        <w:gridCol w:w="2102"/>
      </w:tblGrid>
      <w:tr w14:paraId="20121B5C">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41</w:t>
            </w:r>
            <w:r>
              <w:rPr>
                <w:rFonts w:hint="eastAsia" w:eastAsia="宋体"/>
                <w:b/>
                <w:color w:val="000000"/>
                <w:sz w:val="30"/>
                <w:szCs w:val="30"/>
              </w:rPr>
              <w:t>期医用耗材</w:t>
            </w:r>
          </w:p>
        </w:tc>
      </w:tr>
      <w:tr w14:paraId="3C3781CA">
        <w:tblPrEx>
          <w:tblCellMar>
            <w:top w:w="0" w:type="dxa"/>
            <w:left w:w="108" w:type="dxa"/>
            <w:bottom w:w="0" w:type="dxa"/>
            <w:right w:w="108" w:type="dxa"/>
          </w:tblCellMar>
        </w:tblPrEx>
        <w:trPr>
          <w:trHeight w:val="353"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02"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7"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12"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431"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02"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default" w:eastAsia="宋体"/>
                <w:color w:val="000000"/>
                <w:sz w:val="22"/>
                <w:lang w:val="en-US" w:eastAsia="zh-CN"/>
              </w:rPr>
              <w:t>ZCB2025-HC41-16</w:t>
            </w:r>
            <w:r>
              <w:rPr>
                <w:rFonts w:hint="eastAsia" w:eastAsia="宋体"/>
                <w:color w:val="000000"/>
                <w:sz w:val="22"/>
                <w:lang w:val="en-US" w:eastAsia="zh-CN"/>
              </w:rPr>
              <w:t>9</w:t>
            </w:r>
          </w:p>
        </w:tc>
        <w:tc>
          <w:tcPr>
            <w:tcW w:w="2077"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rPr>
              <w:t>一次性吸引管</w:t>
            </w:r>
          </w:p>
        </w:tc>
        <w:tc>
          <w:tcPr>
            <w:tcW w:w="1212"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default" w:eastAsia="宋体"/>
                <w:color w:val="000000"/>
                <w:sz w:val="22"/>
                <w:lang w:val="en-US" w:eastAsia="zh-CN"/>
              </w:rPr>
              <w:t>急诊科</w:t>
            </w:r>
          </w:p>
        </w:tc>
      </w:tr>
      <w:tr w14:paraId="76B6B453">
        <w:tblPrEx>
          <w:tblCellMar>
            <w:top w:w="0" w:type="dxa"/>
            <w:left w:w="108" w:type="dxa"/>
            <w:bottom w:w="0" w:type="dxa"/>
            <w:right w:w="108" w:type="dxa"/>
          </w:tblCellMar>
        </w:tblPrEx>
        <w:trPr>
          <w:trHeight w:val="415"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02"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70</w:t>
            </w:r>
          </w:p>
        </w:tc>
        <w:tc>
          <w:tcPr>
            <w:tcW w:w="2077"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rPr>
              <w:t>一次性无菌胸腹腔引流导管及附件</w:t>
            </w:r>
          </w:p>
        </w:tc>
        <w:tc>
          <w:tcPr>
            <w:tcW w:w="1212"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rPr>
            </w:pPr>
            <w:r>
              <w:rPr>
                <w:rFonts w:hint="eastAsia" w:eastAsia="宋体"/>
                <w:color w:val="000000"/>
                <w:sz w:val="22"/>
              </w:rPr>
              <w:t>超声医学科护理组</w:t>
            </w:r>
          </w:p>
        </w:tc>
      </w:tr>
      <w:tr w14:paraId="17E9961C">
        <w:tblPrEx>
          <w:tblCellMar>
            <w:top w:w="0" w:type="dxa"/>
            <w:left w:w="108" w:type="dxa"/>
            <w:bottom w:w="0" w:type="dxa"/>
            <w:right w:w="108" w:type="dxa"/>
          </w:tblCellMar>
        </w:tblPrEx>
        <w:trPr>
          <w:trHeight w:val="400"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jc w:val="center"/>
              <w:rPr>
                <w:rFonts w:hint="eastAsia" w:eastAsia="宋体"/>
                <w:color w:val="000000"/>
                <w:sz w:val="22"/>
              </w:rPr>
            </w:pPr>
            <w:r>
              <w:rPr>
                <w:rFonts w:hint="eastAsia" w:eastAsia="宋体"/>
                <w:color w:val="000000"/>
                <w:sz w:val="22"/>
              </w:rPr>
              <w:t>3</w:t>
            </w:r>
          </w:p>
        </w:tc>
        <w:tc>
          <w:tcPr>
            <w:tcW w:w="1302" w:type="pct"/>
            <w:tcBorders>
              <w:top w:val="single" w:color="auto" w:sz="4" w:space="0"/>
              <w:left w:val="nil"/>
              <w:bottom w:val="single" w:color="auto" w:sz="4" w:space="0"/>
              <w:right w:val="single" w:color="auto" w:sz="4" w:space="0"/>
            </w:tcBorders>
            <w:shd w:val="clear" w:color="auto" w:fill="auto"/>
            <w:vAlign w:val="center"/>
          </w:tcPr>
          <w:p w14:paraId="7BCFD8DB">
            <w:pPr>
              <w:jc w:val="center"/>
              <w:rPr>
                <w:rFonts w:hint="default"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71</w:t>
            </w:r>
          </w:p>
        </w:tc>
        <w:tc>
          <w:tcPr>
            <w:tcW w:w="2077" w:type="pct"/>
            <w:tcBorders>
              <w:top w:val="single" w:color="auto" w:sz="4" w:space="0"/>
              <w:left w:val="nil"/>
              <w:bottom w:val="single" w:color="auto" w:sz="4" w:space="0"/>
              <w:right w:val="single" w:color="auto" w:sz="4" w:space="0"/>
            </w:tcBorders>
            <w:shd w:val="clear" w:color="auto" w:fill="auto"/>
            <w:vAlign w:val="center"/>
          </w:tcPr>
          <w:p w14:paraId="32ED5247">
            <w:pPr>
              <w:jc w:val="center"/>
              <w:rPr>
                <w:rFonts w:hint="eastAsia" w:eastAsia="宋体"/>
                <w:color w:val="000000"/>
                <w:sz w:val="22"/>
                <w:lang w:val="en-US" w:eastAsia="zh-CN"/>
              </w:rPr>
            </w:pPr>
            <w:r>
              <w:rPr>
                <w:rFonts w:hint="eastAsia" w:eastAsia="宋体"/>
                <w:color w:val="000000"/>
                <w:sz w:val="22"/>
                <w:lang w:val="en-US" w:eastAsia="zh-CN"/>
              </w:rPr>
              <w:t>可吸收血管封合医用胶</w:t>
            </w:r>
          </w:p>
        </w:tc>
        <w:tc>
          <w:tcPr>
            <w:tcW w:w="1212" w:type="pct"/>
            <w:tcBorders>
              <w:top w:val="single" w:color="auto" w:sz="4" w:space="0"/>
              <w:left w:val="nil"/>
              <w:bottom w:val="single" w:color="auto" w:sz="4" w:space="0"/>
              <w:right w:val="single" w:color="auto" w:sz="4" w:space="0"/>
            </w:tcBorders>
            <w:shd w:val="clear" w:color="auto" w:fill="auto"/>
            <w:vAlign w:val="center"/>
          </w:tcPr>
          <w:p w14:paraId="72A9AB06">
            <w:pPr>
              <w:jc w:val="center"/>
              <w:rPr>
                <w:rFonts w:hint="eastAsia" w:eastAsia="宋体"/>
                <w:color w:val="000000"/>
                <w:sz w:val="22"/>
                <w:lang w:val="en-US" w:eastAsia="zh-CN"/>
              </w:rPr>
            </w:pPr>
            <w:r>
              <w:rPr>
                <w:rFonts w:hint="eastAsia" w:eastAsia="宋体"/>
                <w:color w:val="000000"/>
                <w:sz w:val="22"/>
              </w:rPr>
              <w:t>心脏大血管外科</w:t>
            </w:r>
          </w:p>
        </w:tc>
      </w:tr>
      <w:tr w14:paraId="2567D5A0">
        <w:tblPrEx>
          <w:tblCellMar>
            <w:top w:w="0" w:type="dxa"/>
            <w:left w:w="108" w:type="dxa"/>
            <w:bottom w:w="0" w:type="dxa"/>
            <w:right w:w="108" w:type="dxa"/>
          </w:tblCellMar>
        </w:tblPrEx>
        <w:trPr>
          <w:trHeight w:val="398"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68A0E740">
            <w:pPr>
              <w:jc w:val="center"/>
              <w:rPr>
                <w:rFonts w:hint="eastAsia" w:eastAsia="宋体"/>
                <w:color w:val="000000"/>
                <w:sz w:val="22"/>
              </w:rPr>
            </w:pPr>
            <w:r>
              <w:rPr>
                <w:rFonts w:hint="eastAsia" w:eastAsia="宋体"/>
                <w:color w:val="000000"/>
                <w:sz w:val="22"/>
              </w:rPr>
              <w:t>4</w:t>
            </w:r>
          </w:p>
        </w:tc>
        <w:tc>
          <w:tcPr>
            <w:tcW w:w="1302" w:type="pct"/>
            <w:tcBorders>
              <w:top w:val="single" w:color="auto" w:sz="4" w:space="0"/>
              <w:left w:val="nil"/>
              <w:bottom w:val="single" w:color="auto" w:sz="4" w:space="0"/>
              <w:right w:val="single" w:color="auto" w:sz="4" w:space="0"/>
            </w:tcBorders>
            <w:shd w:val="clear" w:color="auto" w:fill="auto"/>
            <w:vAlign w:val="center"/>
          </w:tcPr>
          <w:p w14:paraId="7C280AD2">
            <w:pPr>
              <w:jc w:val="center"/>
              <w:rPr>
                <w:rFonts w:hint="default"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72</w:t>
            </w:r>
          </w:p>
        </w:tc>
        <w:tc>
          <w:tcPr>
            <w:tcW w:w="2077" w:type="pct"/>
            <w:tcBorders>
              <w:top w:val="single" w:color="auto" w:sz="4" w:space="0"/>
              <w:left w:val="nil"/>
              <w:bottom w:val="single" w:color="auto" w:sz="4" w:space="0"/>
              <w:right w:val="single" w:color="auto" w:sz="4" w:space="0"/>
            </w:tcBorders>
            <w:shd w:val="clear" w:color="auto" w:fill="auto"/>
            <w:vAlign w:val="center"/>
          </w:tcPr>
          <w:p w14:paraId="654907B8">
            <w:pPr>
              <w:jc w:val="center"/>
              <w:rPr>
                <w:rFonts w:hint="eastAsia" w:eastAsia="宋体"/>
                <w:color w:val="000000"/>
                <w:sz w:val="22"/>
                <w:lang w:val="en-US" w:eastAsia="zh-CN"/>
              </w:rPr>
            </w:pPr>
            <w:r>
              <w:rPr>
                <w:rFonts w:hint="eastAsia" w:eastAsia="宋体"/>
                <w:color w:val="000000"/>
                <w:sz w:val="22"/>
                <w:lang w:val="en-US" w:eastAsia="zh-CN"/>
              </w:rPr>
              <w:t>显微牵线夹</w:t>
            </w:r>
          </w:p>
        </w:tc>
        <w:tc>
          <w:tcPr>
            <w:tcW w:w="1212" w:type="pct"/>
            <w:tcBorders>
              <w:top w:val="single" w:color="auto" w:sz="4" w:space="0"/>
              <w:left w:val="nil"/>
              <w:bottom w:val="single" w:color="auto" w:sz="4" w:space="0"/>
              <w:right w:val="single" w:color="auto" w:sz="4" w:space="0"/>
            </w:tcBorders>
            <w:shd w:val="clear" w:color="auto" w:fill="auto"/>
            <w:vAlign w:val="center"/>
          </w:tcPr>
          <w:p w14:paraId="1ECFE113">
            <w:pPr>
              <w:jc w:val="center"/>
              <w:rPr>
                <w:rFonts w:hint="eastAsia" w:eastAsia="宋体"/>
                <w:color w:val="000000"/>
                <w:sz w:val="22"/>
                <w:lang w:val="en-US" w:eastAsia="zh-CN"/>
              </w:rPr>
            </w:pPr>
            <w:r>
              <w:rPr>
                <w:rFonts w:hint="eastAsia" w:eastAsia="宋体"/>
                <w:color w:val="000000"/>
                <w:sz w:val="22"/>
              </w:rPr>
              <w:t>心脏大血管外科</w:t>
            </w:r>
          </w:p>
        </w:tc>
      </w:tr>
      <w:tr w14:paraId="50F09777">
        <w:tblPrEx>
          <w:tblCellMar>
            <w:top w:w="0" w:type="dxa"/>
            <w:left w:w="108" w:type="dxa"/>
            <w:bottom w:w="0" w:type="dxa"/>
            <w:right w:w="108" w:type="dxa"/>
          </w:tblCellMar>
        </w:tblPrEx>
        <w:trPr>
          <w:trHeight w:val="398" w:hRule="atLeast"/>
        </w:trPr>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41A5036D">
            <w:pPr>
              <w:jc w:val="center"/>
              <w:rPr>
                <w:rFonts w:hint="eastAsia" w:eastAsia="宋体"/>
                <w:color w:val="000000"/>
                <w:sz w:val="22"/>
                <w:lang w:val="en-US" w:eastAsia="zh-CN"/>
              </w:rPr>
            </w:pPr>
            <w:r>
              <w:rPr>
                <w:rFonts w:hint="eastAsia" w:eastAsia="宋体"/>
                <w:color w:val="000000"/>
                <w:sz w:val="22"/>
                <w:lang w:val="en-US" w:eastAsia="zh-CN"/>
              </w:rPr>
              <w:t>5</w:t>
            </w:r>
          </w:p>
        </w:tc>
        <w:tc>
          <w:tcPr>
            <w:tcW w:w="1302" w:type="pct"/>
            <w:tcBorders>
              <w:top w:val="single" w:color="auto" w:sz="4" w:space="0"/>
              <w:left w:val="nil"/>
              <w:bottom w:val="single" w:color="auto" w:sz="4" w:space="0"/>
              <w:right w:val="single" w:color="auto" w:sz="4" w:space="0"/>
            </w:tcBorders>
            <w:shd w:val="clear" w:color="auto" w:fill="auto"/>
            <w:vAlign w:val="center"/>
          </w:tcPr>
          <w:p w14:paraId="16E701AA">
            <w:pPr>
              <w:jc w:val="center"/>
              <w:rPr>
                <w:rFonts w:hint="eastAsia" w:eastAsia="宋体"/>
                <w:color w:val="000000"/>
                <w:sz w:val="22"/>
                <w:lang w:val="en-US" w:eastAsia="zh-CN"/>
              </w:rPr>
            </w:pPr>
            <w:r>
              <w:rPr>
                <w:rFonts w:hint="default" w:eastAsia="宋体"/>
                <w:color w:val="000000"/>
                <w:sz w:val="22"/>
                <w:lang w:val="en-US" w:eastAsia="zh-CN"/>
              </w:rPr>
              <w:t>ZCB2025-HC41-1</w:t>
            </w:r>
            <w:r>
              <w:rPr>
                <w:rFonts w:hint="eastAsia" w:eastAsia="宋体"/>
                <w:color w:val="000000"/>
                <w:sz w:val="22"/>
                <w:lang w:val="en-US" w:eastAsia="zh-CN"/>
              </w:rPr>
              <w:t>73</w:t>
            </w:r>
          </w:p>
        </w:tc>
        <w:tc>
          <w:tcPr>
            <w:tcW w:w="2077" w:type="pct"/>
            <w:tcBorders>
              <w:top w:val="single" w:color="auto" w:sz="4" w:space="0"/>
              <w:left w:val="nil"/>
              <w:bottom w:val="single" w:color="auto" w:sz="4" w:space="0"/>
              <w:right w:val="single" w:color="auto" w:sz="4" w:space="0"/>
            </w:tcBorders>
            <w:shd w:val="clear" w:color="auto" w:fill="auto"/>
            <w:vAlign w:val="center"/>
          </w:tcPr>
          <w:p w14:paraId="4F919EF7">
            <w:pPr>
              <w:jc w:val="center"/>
              <w:rPr>
                <w:rFonts w:hint="eastAsia" w:eastAsia="宋体"/>
                <w:color w:val="000000"/>
                <w:sz w:val="22"/>
                <w:lang w:val="en-US" w:eastAsia="zh-CN"/>
              </w:rPr>
            </w:pPr>
            <w:r>
              <w:rPr>
                <w:rFonts w:hint="eastAsia" w:eastAsia="宋体"/>
                <w:color w:val="000000"/>
                <w:sz w:val="22"/>
                <w:lang w:val="en-US" w:eastAsia="zh-CN"/>
              </w:rPr>
              <w:t>一次性使用吸痰导管包</w:t>
            </w:r>
          </w:p>
        </w:tc>
        <w:tc>
          <w:tcPr>
            <w:tcW w:w="1212" w:type="pct"/>
            <w:tcBorders>
              <w:top w:val="single" w:color="auto" w:sz="4" w:space="0"/>
              <w:left w:val="nil"/>
              <w:bottom w:val="single" w:color="auto" w:sz="4" w:space="0"/>
              <w:right w:val="single" w:color="auto" w:sz="4" w:space="0"/>
            </w:tcBorders>
            <w:shd w:val="clear" w:color="auto" w:fill="auto"/>
            <w:vAlign w:val="center"/>
          </w:tcPr>
          <w:p w14:paraId="4B7B906E">
            <w:pPr>
              <w:jc w:val="center"/>
              <w:rPr>
                <w:rFonts w:hint="eastAsia" w:eastAsia="宋体"/>
                <w:color w:val="000000"/>
                <w:sz w:val="22"/>
                <w:lang w:val="en-US" w:eastAsia="zh-CN"/>
              </w:rPr>
            </w:pPr>
            <w:r>
              <w:rPr>
                <w:rFonts w:hint="eastAsia" w:eastAsia="宋体"/>
                <w:color w:val="000000"/>
                <w:sz w:val="22"/>
              </w:rPr>
              <w:t>心脏大血管外科</w:t>
            </w:r>
          </w:p>
        </w:tc>
      </w:tr>
    </w:tbl>
    <w:p w14:paraId="73FC8F88">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8</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color w:val="FF0000"/>
          <w:sz w:val="44"/>
          <w:szCs w:val="44"/>
          <w:lang w:val="en-US" w:eastAsia="zh-CN"/>
        </w:rPr>
        <w:t>41</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color w:val="FF0000"/>
          <w:kern w:val="0"/>
          <w:szCs w:val="21"/>
          <w:lang w:val="en-US" w:eastAsia="zh-CN"/>
        </w:rPr>
        <w:t>41</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2" w:firstLineChars="200"/>
        <w:rPr>
          <w:rFonts w:hint="eastAsia" w:ascii="宋体" w:hAnsi="宋体" w:eastAsia="宋体" w:cs="宋体"/>
          <w:b/>
          <w:bCs/>
          <w:color w:val="000000"/>
          <w:sz w:val="21"/>
          <w:szCs w:val="21"/>
          <w:highlight w:val="cyan"/>
          <w:u w:val="single"/>
          <w:lang w:val="en-US" w:eastAsia="zh-CN"/>
        </w:rPr>
      </w:pPr>
      <w:r>
        <w:rPr>
          <w:rFonts w:hint="eastAsia" w:ascii="宋体" w:hAnsi="宋体" w:eastAsia="宋体" w:cs="宋体"/>
          <w:b/>
          <w:bCs/>
          <w:color w:val="000000"/>
          <w:sz w:val="21"/>
          <w:szCs w:val="21"/>
          <w:highlight w:val="cyan"/>
          <w:u w:val="single"/>
          <w:lang w:val="en-US" w:eastAsia="zh-CN"/>
        </w:rPr>
        <w:t>（一）报名时间：自公告发布之日起至2025年8月28日17：00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cyan"/>
          <w:u w:val="single"/>
          <w:lang w:eastAsia="zh-CN"/>
        </w:rPr>
        <w:t>2025</w:t>
      </w:r>
      <w:r>
        <w:rPr>
          <w:rFonts w:hint="eastAsia" w:ascii="宋体" w:hAnsi="宋体" w:eastAsia="宋体" w:cs="宋体"/>
          <w:b/>
          <w:bCs/>
          <w:color w:val="000000"/>
          <w:sz w:val="20"/>
          <w:szCs w:val="20"/>
          <w:highlight w:val="cyan"/>
          <w:u w:val="single"/>
        </w:rPr>
        <w:t>年</w:t>
      </w:r>
      <w:bookmarkStart w:id="30" w:name="_GoBack"/>
      <w:bookmarkEnd w:id="30"/>
      <w:r>
        <w:rPr>
          <w:rFonts w:hint="eastAsia" w:ascii="宋体" w:hAnsi="宋体" w:eastAsia="宋体" w:cs="宋体"/>
          <w:b/>
          <w:bCs/>
          <w:color w:val="000000"/>
          <w:sz w:val="20"/>
          <w:szCs w:val="20"/>
          <w:highlight w:val="cyan"/>
          <w:u w:val="single"/>
        </w:rPr>
        <w:t>9月5日8点30分，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22</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8</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28</w:t>
      </w:r>
      <w:r>
        <w:rPr>
          <w:rFonts w:hint="eastAsia" w:ascii="Tahoma" w:hAnsi="Tahoma" w:eastAsia="宋体" w:cs="宋体"/>
          <w:kern w:val="0"/>
          <w:szCs w:val="21"/>
          <w:highlight w:val="cyan"/>
        </w:rPr>
        <w:t>日</w:t>
      </w:r>
      <w:r>
        <w:rPr>
          <w:rFonts w:hint="eastAsia" w:ascii="Tahoma" w:hAnsi="Tahoma" w:eastAsia="宋体" w:cs="宋体"/>
          <w:kern w:val="0"/>
          <w:szCs w:val="21"/>
          <w:highlight w:val="cyan"/>
          <w:lang w:val="en-US" w:eastAsia="zh-CN"/>
        </w:rPr>
        <w:t>17</w:t>
      </w:r>
      <w:r>
        <w:rPr>
          <w:rFonts w:hint="eastAsia" w:ascii="Tahoma" w:hAnsi="Tahoma" w:eastAsia="宋体" w:cs="宋体"/>
          <w:kern w:val="0"/>
          <w:szCs w:val="21"/>
          <w:highlight w:val="cyan"/>
        </w:rPr>
        <w:t>:00，自本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pPr w:leftFromText="180" w:rightFromText="180" w:vertAnchor="text" w:horzAnchor="page" w:tblpX="586" w:tblpY="662"/>
        <w:tblOverlap w:val="never"/>
        <w:tblW w:w="51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84"/>
        <w:gridCol w:w="1018"/>
        <w:gridCol w:w="1361"/>
        <w:gridCol w:w="3321"/>
        <w:gridCol w:w="1029"/>
        <w:gridCol w:w="1286"/>
        <w:gridCol w:w="653"/>
        <w:gridCol w:w="1286"/>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07"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58"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12" w:type="pct"/>
            <w:vAlign w:val="center"/>
          </w:tcPr>
          <w:p w14:paraId="495B28C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495" w:type="pct"/>
            <w:vAlign w:val="center"/>
          </w:tcPr>
          <w:p w14:paraId="62D743F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63"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78"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93" w:type="pct"/>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78" w:type="pct"/>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07"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ZCB2025-HC41-16</w:t>
            </w:r>
            <w:r>
              <w:rPr>
                <w:rFonts w:hint="eastAsia" w:asciiTheme="majorEastAsia" w:hAnsiTheme="majorEastAsia" w:eastAsiaTheme="majorEastAsia" w:cstheme="majorEastAsia"/>
                <w:i w:val="0"/>
                <w:iCs w:val="0"/>
                <w:color w:val="000000"/>
                <w:kern w:val="0"/>
                <w:sz w:val="20"/>
                <w:szCs w:val="20"/>
                <w:u w:val="none"/>
                <w:lang w:val="en-US" w:eastAsia="zh-CN" w:bidi="ar"/>
              </w:rPr>
              <w:t>9</w:t>
            </w:r>
          </w:p>
        </w:tc>
        <w:tc>
          <w:tcPr>
            <w:tcW w:w="458"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一次性吸引管</w:t>
            </w:r>
          </w:p>
        </w:tc>
        <w:tc>
          <w:tcPr>
            <w:tcW w:w="612" w:type="pct"/>
            <w:shd w:val="clear" w:color="auto" w:fill="auto"/>
            <w:vAlign w:val="center"/>
          </w:tcPr>
          <w:p w14:paraId="2FAAEB8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82</w:t>
            </w:r>
          </w:p>
        </w:tc>
        <w:tc>
          <w:tcPr>
            <w:tcW w:w="1495" w:type="pct"/>
            <w:shd w:val="clear" w:color="auto" w:fill="auto"/>
            <w:vAlign w:val="center"/>
          </w:tcPr>
          <w:p w14:paraId="2BF5F15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1、进液管长度 1250士50 mm，管径6±1mm，接头内径8±1mm，带有滤水接头。</w:t>
            </w:r>
          </w:p>
          <w:p w14:paraId="3D99DA2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3、排液管长度1550+50mm，管内径8+1mm，接头内经 10±1mm，带有排水沉头。</w:t>
            </w:r>
          </w:p>
          <w:p w14:paraId="7AF6A1D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4、进出胃管为Y型管设计，长度170+50mm，接头内径8.5士2mm。</w:t>
            </w:r>
          </w:p>
          <w:p w14:paraId="61C0688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5、管路材质为PVC，一次性使用。</w:t>
            </w:r>
          </w:p>
          <w:p w14:paraId="54051F14">
            <w:pPr>
              <w:widowControl/>
              <w:jc w:val="both"/>
              <w:rPr>
                <w:rFonts w:hint="default"/>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6、适配于医院在用的同业SCII型自动洗胃机。</w:t>
            </w:r>
          </w:p>
        </w:tc>
        <w:tc>
          <w:tcPr>
            <w:tcW w:w="463" w:type="pct"/>
            <w:vAlign w:val="center"/>
          </w:tcPr>
          <w:p w14:paraId="244C394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52897C3">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34546274">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78" w:type="pct"/>
            <w:vAlign w:val="top"/>
          </w:tcPr>
          <w:p w14:paraId="2E7A1C56">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07"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70</w:t>
            </w:r>
          </w:p>
        </w:tc>
        <w:tc>
          <w:tcPr>
            <w:tcW w:w="458"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一次性无菌胸腹腔引流导管及附件</w:t>
            </w:r>
          </w:p>
        </w:tc>
        <w:tc>
          <w:tcPr>
            <w:tcW w:w="612" w:type="pct"/>
            <w:shd w:val="clear" w:color="auto" w:fill="auto"/>
            <w:vAlign w:val="center"/>
          </w:tcPr>
          <w:p w14:paraId="3BF328E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300</w:t>
            </w:r>
          </w:p>
        </w:tc>
        <w:tc>
          <w:tcPr>
            <w:tcW w:w="1495" w:type="pct"/>
            <w:shd w:val="clear" w:color="auto" w:fill="auto"/>
            <w:vAlign w:val="center"/>
          </w:tcPr>
          <w:p w14:paraId="34977E1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1.产品由导管和导丝、扩张器等组成：导管材质为聚氨酯；</w:t>
            </w:r>
          </w:p>
          <w:p w14:paraId="1B3BE29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2.导管前端具有直形和弯形等型号，具有防堵多侧孔特点；</w:t>
            </w:r>
          </w:p>
          <w:p w14:paraId="51B6AC5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3.导管具有多种型号可满足临床需求。管径6F--12F，长度20--30cm±1mm；导丝直径范围0.018--0.035inch；导管管体：有相应的刻度标志，易于掌握置管深度；扩张器：（1-2）5-12F；导引穿刺针：18G；</w:t>
            </w:r>
          </w:p>
          <w:p w14:paraId="4AFECF5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4.产品以无菌形式提供，一次性使用，有效期不小于36个月。</w:t>
            </w:r>
          </w:p>
          <w:p w14:paraId="77C976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5.适配于医院在用的GE LOGIQ E9设备使用。</w:t>
            </w:r>
          </w:p>
        </w:tc>
        <w:tc>
          <w:tcPr>
            <w:tcW w:w="463" w:type="pct"/>
            <w:vAlign w:val="center"/>
          </w:tcPr>
          <w:p w14:paraId="01E6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81150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7886359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超声医学科护理组</w:t>
            </w:r>
          </w:p>
        </w:tc>
        <w:tc>
          <w:tcPr>
            <w:tcW w:w="578" w:type="pct"/>
            <w:vAlign w:val="top"/>
          </w:tcPr>
          <w:p w14:paraId="5C35A7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8F的导管及其配套的全部附件</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18437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7076162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07" w:type="pct"/>
            <w:shd w:val="clear" w:color="auto" w:fill="auto"/>
            <w:vAlign w:val="center"/>
          </w:tcPr>
          <w:p w14:paraId="5A0EFC8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71</w:t>
            </w:r>
          </w:p>
        </w:tc>
        <w:tc>
          <w:tcPr>
            <w:tcW w:w="458" w:type="pct"/>
            <w:shd w:val="clear" w:color="auto" w:fill="auto"/>
            <w:vAlign w:val="center"/>
          </w:tcPr>
          <w:p w14:paraId="7C1A338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可吸收血管封合医用胶</w:t>
            </w:r>
          </w:p>
        </w:tc>
        <w:tc>
          <w:tcPr>
            <w:tcW w:w="612" w:type="pct"/>
            <w:shd w:val="clear" w:color="auto" w:fill="auto"/>
            <w:vAlign w:val="center"/>
          </w:tcPr>
          <w:p w14:paraId="4643214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2975</w:t>
            </w:r>
          </w:p>
        </w:tc>
        <w:tc>
          <w:tcPr>
            <w:tcW w:w="1495" w:type="pct"/>
            <w:shd w:val="clear" w:color="auto" w:fill="auto"/>
            <w:vAlign w:val="center"/>
          </w:tcPr>
          <w:p w14:paraId="7782EF2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（1）破裂强度应不低于200mmHg，溶胀率应不大于自身重量的400%；</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（2）粘合强度：对凝胶施加200mmHg压力，维持时间大于10min不脱落、不渗漏；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（3）细胞内毒素：细菌内毒素含量应小于2.15EU/件；</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（4）产品无菌、无热原、无亚慢毒性、无遗传毒性；</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（5）产品可在4周内降解完全，符合GB/T 16886系列标准。</w:t>
            </w:r>
          </w:p>
        </w:tc>
        <w:tc>
          <w:tcPr>
            <w:tcW w:w="463" w:type="pct"/>
            <w:vAlign w:val="center"/>
          </w:tcPr>
          <w:p w14:paraId="563468D6">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2DDB936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3EFFE8A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29E2D89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6A98F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3B1CCBA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07" w:type="pct"/>
            <w:shd w:val="clear" w:color="auto" w:fill="auto"/>
            <w:vAlign w:val="center"/>
          </w:tcPr>
          <w:p w14:paraId="4E15864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72</w:t>
            </w:r>
          </w:p>
        </w:tc>
        <w:tc>
          <w:tcPr>
            <w:tcW w:w="458" w:type="pct"/>
            <w:shd w:val="clear" w:color="auto" w:fill="auto"/>
            <w:vAlign w:val="center"/>
          </w:tcPr>
          <w:p w14:paraId="6B78600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显微牵线夹</w:t>
            </w:r>
          </w:p>
        </w:tc>
        <w:tc>
          <w:tcPr>
            <w:tcW w:w="612" w:type="pct"/>
            <w:shd w:val="clear" w:color="auto" w:fill="auto"/>
            <w:vAlign w:val="center"/>
          </w:tcPr>
          <w:p w14:paraId="440A585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w:t>
            </w:r>
          </w:p>
        </w:tc>
        <w:tc>
          <w:tcPr>
            <w:tcW w:w="1495" w:type="pct"/>
            <w:shd w:val="clear" w:color="auto" w:fill="auto"/>
            <w:vAlign w:val="center"/>
          </w:tcPr>
          <w:p w14:paraId="5ADEB96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1.用于显微手术时夹持牵引线；</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2.采用不锈钢材料制成；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3.有大中小等多种型号可选；</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4.长不小于200mm，不大于250mm；直径0.6.-0.8mm</w:t>
            </w:r>
          </w:p>
        </w:tc>
        <w:tc>
          <w:tcPr>
            <w:tcW w:w="463" w:type="pct"/>
            <w:vAlign w:val="center"/>
          </w:tcPr>
          <w:p w14:paraId="07A1ACF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7D13F1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否（如后续纳入挂网范围须无条件挂网签订合同）</w:t>
            </w:r>
          </w:p>
        </w:tc>
        <w:tc>
          <w:tcPr>
            <w:tcW w:w="293" w:type="pct"/>
            <w:shd w:val="clear" w:color="auto" w:fill="auto"/>
            <w:vAlign w:val="center"/>
          </w:tcPr>
          <w:p w14:paraId="437A5BA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34859200">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中号（M）</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22BE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7C5C12D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07" w:type="pct"/>
            <w:shd w:val="clear" w:color="auto" w:fill="auto"/>
            <w:vAlign w:val="center"/>
          </w:tcPr>
          <w:p w14:paraId="2888C01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73</w:t>
            </w:r>
          </w:p>
        </w:tc>
        <w:tc>
          <w:tcPr>
            <w:tcW w:w="458" w:type="pct"/>
            <w:shd w:val="clear" w:color="auto" w:fill="auto"/>
            <w:vAlign w:val="center"/>
          </w:tcPr>
          <w:p w14:paraId="5994F72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一次性使用吸痰导管包</w:t>
            </w:r>
          </w:p>
        </w:tc>
        <w:tc>
          <w:tcPr>
            <w:tcW w:w="612" w:type="pct"/>
            <w:shd w:val="clear" w:color="auto" w:fill="auto"/>
            <w:vAlign w:val="center"/>
          </w:tcPr>
          <w:p w14:paraId="77B4652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85/</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58/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w:t>
            </w:r>
          </w:p>
        </w:tc>
        <w:tc>
          <w:tcPr>
            <w:tcW w:w="1495" w:type="pct"/>
            <w:shd w:val="clear" w:color="auto" w:fill="auto"/>
            <w:vAlign w:val="center"/>
          </w:tcPr>
          <w:p w14:paraId="1760D2B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1、产品由一次性使用吸痰管、一次性使用负压吸引瓶、一次性使用吸引连接管、一次性使用清洗杯、一次性使用薄膜手套及一次性使用无纺布等组成。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2、产品引流瓶材质为PP或者PC塑料。</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3、产品须配备吸痰护理包所需物品及吸痰管。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4、吸引瓶瓶身具备刻度条。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5、配有防污染的堵头及挂钩。</w:t>
            </w:r>
          </w:p>
        </w:tc>
        <w:tc>
          <w:tcPr>
            <w:tcW w:w="463" w:type="pct"/>
            <w:vAlign w:val="center"/>
          </w:tcPr>
          <w:p w14:paraId="448A9BA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303BAEA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56D672A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628BBE6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4632DDC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8</w:t>
      </w:r>
      <w:r>
        <w:rPr>
          <w:rFonts w:hint="eastAsia" w:ascii="Tahoma" w:hAnsi="Tahoma" w:cs="Tahoma"/>
          <w:color w:val="FF0000"/>
          <w:kern w:val="0"/>
          <w:szCs w:val="21"/>
        </w:rPr>
        <w:t>月</w:t>
      </w:r>
      <w:r>
        <w:rPr>
          <w:rFonts w:hint="eastAsia" w:ascii="Tahoma" w:hAnsi="Tahoma" w:cs="Tahoma"/>
          <w:color w:val="FF0000"/>
          <w:kern w:val="0"/>
          <w:szCs w:val="21"/>
          <w:lang w:val="en-US" w:eastAsia="zh-CN"/>
        </w:rPr>
        <w:t>21日</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对新准入和替换的</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30"/>
        <w:tblpPr w:leftFromText="180" w:rightFromText="180" w:vertAnchor="text" w:horzAnchor="page" w:tblpX="586" w:tblpY="662"/>
        <w:tblOverlap w:val="never"/>
        <w:tblW w:w="51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684"/>
        <w:gridCol w:w="1018"/>
        <w:gridCol w:w="1361"/>
        <w:gridCol w:w="3321"/>
        <w:gridCol w:w="1029"/>
        <w:gridCol w:w="1286"/>
        <w:gridCol w:w="653"/>
        <w:gridCol w:w="1286"/>
      </w:tblGrid>
      <w:tr w14:paraId="3DC1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8B52530">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07" w:type="pct"/>
            <w:vAlign w:val="center"/>
          </w:tcPr>
          <w:p w14:paraId="0F063FF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58" w:type="pct"/>
            <w:vAlign w:val="center"/>
          </w:tcPr>
          <w:p w14:paraId="09A14E04">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12" w:type="pct"/>
            <w:vAlign w:val="center"/>
          </w:tcPr>
          <w:p w14:paraId="5266F500">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495" w:type="pct"/>
            <w:vAlign w:val="center"/>
          </w:tcPr>
          <w:p w14:paraId="5CDF254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463" w:type="pct"/>
            <w:vAlign w:val="center"/>
          </w:tcPr>
          <w:p w14:paraId="7340EC7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78" w:type="pct"/>
            <w:vAlign w:val="center"/>
          </w:tcPr>
          <w:p w14:paraId="6278D50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93" w:type="pct"/>
          </w:tcPr>
          <w:p w14:paraId="5F446BF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578" w:type="pct"/>
          </w:tcPr>
          <w:p w14:paraId="46CFBC4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AD06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370FE2A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07" w:type="pct"/>
            <w:shd w:val="clear" w:color="auto" w:fill="auto"/>
            <w:vAlign w:val="center"/>
          </w:tcPr>
          <w:p w14:paraId="3E480A2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ZCB2025-HC41-16</w:t>
            </w:r>
            <w:r>
              <w:rPr>
                <w:rFonts w:hint="eastAsia" w:asciiTheme="majorEastAsia" w:hAnsiTheme="majorEastAsia" w:eastAsiaTheme="majorEastAsia" w:cstheme="majorEastAsia"/>
                <w:i w:val="0"/>
                <w:iCs w:val="0"/>
                <w:color w:val="000000"/>
                <w:kern w:val="0"/>
                <w:sz w:val="20"/>
                <w:szCs w:val="20"/>
                <w:u w:val="none"/>
                <w:lang w:val="en-US" w:eastAsia="zh-CN" w:bidi="ar"/>
              </w:rPr>
              <w:t>9</w:t>
            </w:r>
          </w:p>
        </w:tc>
        <w:tc>
          <w:tcPr>
            <w:tcW w:w="458" w:type="pct"/>
            <w:shd w:val="clear" w:color="auto" w:fill="auto"/>
            <w:vAlign w:val="center"/>
          </w:tcPr>
          <w:p w14:paraId="6A8A8BC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一次性吸引管</w:t>
            </w:r>
          </w:p>
        </w:tc>
        <w:tc>
          <w:tcPr>
            <w:tcW w:w="612" w:type="pct"/>
            <w:shd w:val="clear" w:color="auto" w:fill="auto"/>
            <w:vAlign w:val="center"/>
          </w:tcPr>
          <w:p w14:paraId="00FE5CA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82</w:t>
            </w:r>
          </w:p>
        </w:tc>
        <w:tc>
          <w:tcPr>
            <w:tcW w:w="1495" w:type="pct"/>
            <w:shd w:val="clear" w:color="auto" w:fill="auto"/>
            <w:vAlign w:val="center"/>
          </w:tcPr>
          <w:p w14:paraId="6792B3E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1、进液管长度 1250士50 mm，管径6±1mm，接头内径8±1mm，带有滤水接头。</w:t>
            </w:r>
          </w:p>
          <w:p w14:paraId="236F0B7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3、排液管长度1550+50mm，管内径8+1mm，接头内经 10±1mm，带有排水沉头。</w:t>
            </w:r>
          </w:p>
          <w:p w14:paraId="7BD90F5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4、进出胃管为Y型管设计，长度170+50mm，接头内径8.5士2mm。</w:t>
            </w:r>
          </w:p>
          <w:p w14:paraId="1D775E4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5、管路材质为PVC，一次性使用。</w:t>
            </w:r>
          </w:p>
          <w:p w14:paraId="27F11CB2">
            <w:pPr>
              <w:widowControl/>
              <w:jc w:val="both"/>
              <w:rPr>
                <w:rFonts w:hint="default"/>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6、适配于医院在用的同业SCII型自动洗胃机。</w:t>
            </w:r>
          </w:p>
        </w:tc>
        <w:tc>
          <w:tcPr>
            <w:tcW w:w="463" w:type="pct"/>
            <w:vAlign w:val="center"/>
          </w:tcPr>
          <w:p w14:paraId="05ABE83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24176FD6">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1D6F7F8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急诊科</w:t>
            </w:r>
          </w:p>
        </w:tc>
        <w:tc>
          <w:tcPr>
            <w:tcW w:w="578" w:type="pct"/>
            <w:vAlign w:val="top"/>
          </w:tcPr>
          <w:p w14:paraId="4A8B4F92">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2C93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39D9C8B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07" w:type="pct"/>
            <w:shd w:val="clear" w:color="auto" w:fill="auto"/>
            <w:vAlign w:val="center"/>
          </w:tcPr>
          <w:p w14:paraId="75ABE2F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70</w:t>
            </w:r>
          </w:p>
        </w:tc>
        <w:tc>
          <w:tcPr>
            <w:tcW w:w="458" w:type="pct"/>
            <w:shd w:val="clear" w:color="auto" w:fill="auto"/>
            <w:vAlign w:val="center"/>
          </w:tcPr>
          <w:p w14:paraId="137610F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一次性无菌胸腹腔引流导管及附件</w:t>
            </w:r>
          </w:p>
        </w:tc>
        <w:tc>
          <w:tcPr>
            <w:tcW w:w="612" w:type="pct"/>
            <w:shd w:val="clear" w:color="auto" w:fill="auto"/>
            <w:vAlign w:val="center"/>
          </w:tcPr>
          <w:p w14:paraId="1808C83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300</w:t>
            </w:r>
          </w:p>
        </w:tc>
        <w:tc>
          <w:tcPr>
            <w:tcW w:w="1495" w:type="pct"/>
            <w:shd w:val="clear" w:color="auto" w:fill="auto"/>
            <w:vAlign w:val="center"/>
          </w:tcPr>
          <w:p w14:paraId="175E293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1.产品由导管和导丝、扩张器等组成：导管材质为聚氨酯；</w:t>
            </w:r>
          </w:p>
          <w:p w14:paraId="2BACC11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2.导管前端具有直形和弯形等型号，具有防堵多侧孔特点；</w:t>
            </w:r>
          </w:p>
          <w:p w14:paraId="76E605A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3.导管具有多种型号可满足临床需求。管径6F--12F，长度20--30cm±1mm；导丝直径范围0.018--0.035inch；导管管体：有相应的刻度标志，易于掌握置管深度；扩张器：（1-2）5-12F；导引穿刺针：18G；</w:t>
            </w:r>
          </w:p>
          <w:p w14:paraId="6D2B6A1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4.产品以无菌形式提供，一次性使用，有效期不小于36个月。</w:t>
            </w:r>
          </w:p>
          <w:p w14:paraId="1DC20D7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5.适配于医院在用的GE LOGIQ E9设备使用。</w:t>
            </w:r>
          </w:p>
        </w:tc>
        <w:tc>
          <w:tcPr>
            <w:tcW w:w="463" w:type="pct"/>
            <w:vAlign w:val="center"/>
          </w:tcPr>
          <w:p w14:paraId="4FA98359">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7944B3A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0C914C3B">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超声医学科护理组</w:t>
            </w:r>
          </w:p>
        </w:tc>
        <w:tc>
          <w:tcPr>
            <w:tcW w:w="578" w:type="pct"/>
            <w:vAlign w:val="top"/>
          </w:tcPr>
          <w:p w14:paraId="5454EC37">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8F的导管及其配套的全部附件</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03FB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21E6591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07" w:type="pct"/>
            <w:shd w:val="clear" w:color="auto" w:fill="auto"/>
            <w:vAlign w:val="center"/>
          </w:tcPr>
          <w:p w14:paraId="061F778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71</w:t>
            </w:r>
          </w:p>
        </w:tc>
        <w:tc>
          <w:tcPr>
            <w:tcW w:w="458" w:type="pct"/>
            <w:shd w:val="clear" w:color="auto" w:fill="auto"/>
            <w:vAlign w:val="center"/>
          </w:tcPr>
          <w:p w14:paraId="1B8566B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可吸收血管封合医用胶</w:t>
            </w:r>
          </w:p>
        </w:tc>
        <w:tc>
          <w:tcPr>
            <w:tcW w:w="612" w:type="pct"/>
            <w:shd w:val="clear" w:color="auto" w:fill="auto"/>
            <w:vAlign w:val="center"/>
          </w:tcPr>
          <w:p w14:paraId="555BBAE2">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2975</w:t>
            </w:r>
          </w:p>
        </w:tc>
        <w:tc>
          <w:tcPr>
            <w:tcW w:w="1495" w:type="pct"/>
            <w:shd w:val="clear" w:color="auto" w:fill="auto"/>
            <w:vAlign w:val="center"/>
          </w:tcPr>
          <w:p w14:paraId="063FAD1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（1）破裂强度应不低于200mmHg，溶胀率应不大于自身重量的400%；</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（2）粘合强度：对凝胶施加200mmHg压力，维持时间大于10min不脱落、不渗漏；</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（3）细胞内毒素：细菌内毒素含量应小于2.15EU/件；</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（4）产品无菌、无热原、无亚慢毒性、无遗传毒性；</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（5）产品可在4周内降解完全，符合GB/T 16886系列标准。</w:t>
            </w:r>
          </w:p>
        </w:tc>
        <w:tc>
          <w:tcPr>
            <w:tcW w:w="463" w:type="pct"/>
            <w:vAlign w:val="center"/>
          </w:tcPr>
          <w:p w14:paraId="5871F92D">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4CB3A350">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05E88366">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2D95EF0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r w14:paraId="16C7B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6664C90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07" w:type="pct"/>
            <w:shd w:val="clear" w:color="auto" w:fill="auto"/>
            <w:vAlign w:val="center"/>
          </w:tcPr>
          <w:p w14:paraId="318EFF0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72</w:t>
            </w:r>
          </w:p>
        </w:tc>
        <w:tc>
          <w:tcPr>
            <w:tcW w:w="458" w:type="pct"/>
            <w:shd w:val="clear" w:color="auto" w:fill="auto"/>
            <w:vAlign w:val="center"/>
          </w:tcPr>
          <w:p w14:paraId="7188A3D8">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显微牵线夹</w:t>
            </w:r>
          </w:p>
        </w:tc>
        <w:tc>
          <w:tcPr>
            <w:tcW w:w="612" w:type="pct"/>
            <w:shd w:val="clear" w:color="auto" w:fill="auto"/>
            <w:vAlign w:val="center"/>
          </w:tcPr>
          <w:p w14:paraId="1C2A1B0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80</w:t>
            </w:r>
          </w:p>
        </w:tc>
        <w:tc>
          <w:tcPr>
            <w:tcW w:w="1495" w:type="pct"/>
            <w:shd w:val="clear" w:color="auto" w:fill="auto"/>
            <w:vAlign w:val="center"/>
          </w:tcPr>
          <w:p w14:paraId="3852F8D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1.用于显微手术时夹持牵引线；</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2.采用不锈钢材料制成；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3.有大中小等多种型号可选；</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4.长不小于200mm，不大于250mm；直径0.6.-0.8mm</w:t>
            </w:r>
          </w:p>
        </w:tc>
        <w:tc>
          <w:tcPr>
            <w:tcW w:w="463" w:type="pct"/>
            <w:vAlign w:val="center"/>
          </w:tcPr>
          <w:p w14:paraId="21388607">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5991846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b/>
                <w:bCs/>
                <w:i w:val="0"/>
                <w:iCs w:val="0"/>
                <w:color w:val="000000"/>
                <w:kern w:val="0"/>
                <w:sz w:val="20"/>
                <w:szCs w:val="20"/>
                <w:u w:val="none"/>
                <w:lang w:val="en-US" w:eastAsia="zh-CN" w:bidi="ar"/>
              </w:rPr>
              <w:t>否（如后续纳入挂网范围须无条件挂网签订合同）</w:t>
            </w:r>
          </w:p>
        </w:tc>
        <w:tc>
          <w:tcPr>
            <w:tcW w:w="293" w:type="pct"/>
            <w:shd w:val="clear" w:color="auto" w:fill="auto"/>
            <w:vAlign w:val="center"/>
          </w:tcPr>
          <w:p w14:paraId="6560119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3E236AD6">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w:t>
            </w:r>
            <w:r>
              <w:rPr>
                <w:rFonts w:hint="eastAsia" w:asciiTheme="majorEastAsia" w:hAnsiTheme="majorEastAsia" w:eastAsiaTheme="majorEastAsia" w:cstheme="majorEastAsia"/>
                <w:b/>
                <w:bCs/>
                <w:i w:val="0"/>
                <w:iCs w:val="0"/>
                <w:color w:val="000000"/>
                <w:kern w:val="0"/>
                <w:sz w:val="20"/>
                <w:szCs w:val="20"/>
                <w:u w:val="none"/>
                <w:lang w:val="en-US" w:eastAsia="zh-CN" w:bidi="ar"/>
              </w:rPr>
              <w:t>中号（M）</w:t>
            </w:r>
            <w:r>
              <w:rPr>
                <w:rFonts w:hint="eastAsia" w:asciiTheme="majorEastAsia" w:hAnsiTheme="majorEastAsia" w:eastAsiaTheme="majorEastAsia" w:cstheme="majorEastAsia"/>
                <w:i w:val="0"/>
                <w:iCs w:val="0"/>
                <w:color w:val="000000"/>
                <w:kern w:val="0"/>
                <w:sz w:val="20"/>
                <w:szCs w:val="20"/>
                <w:u w:val="none"/>
                <w:lang w:val="en-US" w:eastAsia="zh-CN" w:bidi="ar"/>
              </w:rPr>
              <w:t>作为样品，此样品为综合评分的一部分，其他品规样品适当携带包含各个系列产品</w:t>
            </w:r>
          </w:p>
        </w:tc>
      </w:tr>
      <w:tr w14:paraId="23B8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10" w:type="pct"/>
            <w:vAlign w:val="center"/>
          </w:tcPr>
          <w:p w14:paraId="07F3F90E">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07" w:type="pct"/>
            <w:shd w:val="clear" w:color="auto" w:fill="auto"/>
            <w:vAlign w:val="center"/>
          </w:tcPr>
          <w:p w14:paraId="2345224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ZCB2025-HC41-1</w:t>
            </w:r>
            <w:r>
              <w:rPr>
                <w:rFonts w:hint="eastAsia" w:asciiTheme="majorEastAsia" w:hAnsiTheme="majorEastAsia" w:eastAsiaTheme="majorEastAsia" w:cstheme="majorEastAsia"/>
                <w:i w:val="0"/>
                <w:iCs w:val="0"/>
                <w:color w:val="000000"/>
                <w:kern w:val="0"/>
                <w:sz w:val="20"/>
                <w:szCs w:val="20"/>
                <w:u w:val="none"/>
                <w:lang w:val="en-US" w:eastAsia="zh-CN" w:bidi="ar"/>
              </w:rPr>
              <w:t>73</w:t>
            </w:r>
          </w:p>
        </w:tc>
        <w:tc>
          <w:tcPr>
            <w:tcW w:w="458" w:type="pct"/>
            <w:shd w:val="clear" w:color="auto" w:fill="auto"/>
            <w:vAlign w:val="center"/>
          </w:tcPr>
          <w:p w14:paraId="72A70B7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一次性使用吸痰导管包</w:t>
            </w:r>
          </w:p>
        </w:tc>
        <w:tc>
          <w:tcPr>
            <w:tcW w:w="612" w:type="pct"/>
            <w:shd w:val="clear" w:color="auto" w:fill="auto"/>
            <w:vAlign w:val="center"/>
          </w:tcPr>
          <w:p w14:paraId="075A0C6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118/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85/</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58/</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default" w:asciiTheme="majorEastAsia" w:hAnsiTheme="majorEastAsia" w:eastAsiaTheme="majorEastAsia" w:cstheme="majorEastAsia"/>
                <w:i w:val="0"/>
                <w:iCs w:val="0"/>
                <w:color w:val="000000"/>
                <w:kern w:val="0"/>
                <w:sz w:val="20"/>
                <w:szCs w:val="20"/>
                <w:u w:val="none"/>
                <w:lang w:val="en-US" w:eastAsia="zh-CN" w:bidi="ar"/>
              </w:rPr>
              <w:t>7</w:t>
            </w:r>
          </w:p>
        </w:tc>
        <w:tc>
          <w:tcPr>
            <w:tcW w:w="1495" w:type="pct"/>
            <w:shd w:val="clear" w:color="auto" w:fill="auto"/>
            <w:vAlign w:val="center"/>
          </w:tcPr>
          <w:p w14:paraId="4378E76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1、产品由一次性使用吸痰管、一次性使用负压吸引瓶、一次性使用吸引连接管、一次性使用清洗杯、一次性使用薄膜手套及一次性使用无纺布等组成。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2、产品引流瓶材质为PP或者PC塑料。</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3、产品须配备吸痰护理包所需物品及吸痰管。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4、吸引瓶瓶身具备刻度条。</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5、配有防污染的堵头及挂钩。</w:t>
            </w:r>
          </w:p>
        </w:tc>
        <w:tc>
          <w:tcPr>
            <w:tcW w:w="463" w:type="pct"/>
            <w:vAlign w:val="center"/>
          </w:tcPr>
          <w:p w14:paraId="2A6978AE">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78" w:type="pct"/>
            <w:vAlign w:val="center"/>
          </w:tcPr>
          <w:p w14:paraId="6256E862">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293" w:type="pct"/>
            <w:shd w:val="clear" w:color="auto" w:fill="auto"/>
            <w:vAlign w:val="center"/>
          </w:tcPr>
          <w:p w14:paraId="20B43AE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心脏大血管外科</w:t>
            </w:r>
          </w:p>
        </w:tc>
        <w:tc>
          <w:tcPr>
            <w:tcW w:w="578" w:type="pct"/>
            <w:vAlign w:val="top"/>
          </w:tcPr>
          <w:p w14:paraId="1DAF1B90">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开标时请携带样品，此样品为综合评分的一部分</w:t>
            </w:r>
          </w:p>
        </w:tc>
      </w:tr>
    </w:tbl>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8</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7"/>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73521586"/>
      <w:bookmarkStart w:id="13" w:name="_Toc73518157"/>
      <w:bookmarkStart w:id="14" w:name="_Toc73521674"/>
      <w:bookmarkStart w:id="15" w:name="_Toc100052408"/>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587"/>
      <w:bookmarkStart w:id="18" w:name="_Toc100052409"/>
      <w:bookmarkStart w:id="19" w:name="_Toc73518158"/>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7682"/>
      <w:bookmarkStart w:id="23" w:name="_Toc73521589"/>
      <w:bookmarkStart w:id="24" w:name="_Toc100052410"/>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7A00A2E1">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5901B18-FE5F-4D59-AB61-07F671FE1DDB}"/>
  </w:font>
  <w:font w:name="黑体">
    <w:panose1 w:val="02010609060101010101"/>
    <w:charset w:val="86"/>
    <w:family w:val="auto"/>
    <w:pitch w:val="default"/>
    <w:sig w:usb0="800002BF" w:usb1="38CF7CFA" w:usb2="00000016" w:usb3="00000000" w:csb0="00040001" w:csb1="00000000"/>
    <w:embedRegular r:id="rId2" w:fontKey="{19F080A0-1C71-43A3-992F-436BF82CC3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7A28E0D-0B6F-45B3-89DD-7C4F659A6CA7}"/>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D7BB88B6-C260-43F3-86CA-E6305E523AA8}"/>
  </w:font>
  <w:font w:name="华文中宋">
    <w:panose1 w:val="02010600040101010101"/>
    <w:charset w:val="86"/>
    <w:family w:val="auto"/>
    <w:pitch w:val="default"/>
    <w:sig w:usb0="00000287" w:usb1="080F0000" w:usb2="00000000" w:usb3="00000000" w:csb0="0004009F" w:csb1="DFD70000"/>
    <w:embedRegular r:id="rId5" w:fontKey="{275E3B60-DF56-46EC-AF81-46B6A5F44E6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31DA5A80-E107-4678-881C-F1895194698C}"/>
  </w:font>
  <w:font w:name="方正小标宋简体">
    <w:panose1 w:val="03000509000000000000"/>
    <w:charset w:val="86"/>
    <w:family w:val="auto"/>
    <w:pitch w:val="default"/>
    <w:sig w:usb0="00000001" w:usb1="080E0000" w:usb2="00000000" w:usb3="00000000" w:csb0="00040000" w:csb1="00000000"/>
    <w:embedRegular r:id="rId7" w:fontKey="{C0C58CDA-0CE3-42ED-BF3B-EDC83F9CBE2B}"/>
  </w:font>
  <w:font w:name="微软雅黑">
    <w:panose1 w:val="020B0503020204020204"/>
    <w:charset w:val="86"/>
    <w:family w:val="swiss"/>
    <w:pitch w:val="default"/>
    <w:sig w:usb0="80000287" w:usb1="2ACF3C50" w:usb2="00000016" w:usb3="00000000" w:csb0="0004001F" w:csb1="00000000"/>
    <w:embedRegular r:id="rId8" w:fontKey="{C2EA9FA3-B068-4A15-B751-C6004E799DFE}"/>
  </w:font>
  <w:font w:name="仿宋">
    <w:panose1 w:val="02010609060101010101"/>
    <w:charset w:val="86"/>
    <w:family w:val="modern"/>
    <w:pitch w:val="default"/>
    <w:sig w:usb0="800002BF" w:usb1="38CF7CFA" w:usb2="00000016" w:usb3="00000000" w:csb0="00040001" w:csb1="00000000"/>
    <w:embedRegular r:id="rId9" w:fontKey="{834B2597-2CFE-441A-B53C-A6549241C837}"/>
  </w:font>
  <w:font w:name="方正小标宋_GBK">
    <w:panose1 w:val="03000509000000000000"/>
    <w:charset w:val="86"/>
    <w:family w:val="script"/>
    <w:pitch w:val="default"/>
    <w:sig w:usb0="00000001" w:usb1="080E0000" w:usb2="00000000" w:usb3="00000000" w:csb0="00040000" w:csb1="00000000"/>
    <w:embedRegular r:id="rId10" w:fontKey="{9B134F36-FEBE-48D7-A8EB-CC49AC24D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9B25E0"/>
    <w:rsid w:val="07A05F2C"/>
    <w:rsid w:val="08403A7A"/>
    <w:rsid w:val="085546C8"/>
    <w:rsid w:val="08EE6740"/>
    <w:rsid w:val="09181A0E"/>
    <w:rsid w:val="09303623"/>
    <w:rsid w:val="09491AC5"/>
    <w:rsid w:val="09FA4319"/>
    <w:rsid w:val="0A243FBF"/>
    <w:rsid w:val="0A263C68"/>
    <w:rsid w:val="0A5667CD"/>
    <w:rsid w:val="0B4A6058"/>
    <w:rsid w:val="0B512C73"/>
    <w:rsid w:val="0B677C63"/>
    <w:rsid w:val="0BE95409"/>
    <w:rsid w:val="0C9B1CCF"/>
    <w:rsid w:val="0CCE2622"/>
    <w:rsid w:val="0CD563F7"/>
    <w:rsid w:val="0E085C48"/>
    <w:rsid w:val="0EBB3AA4"/>
    <w:rsid w:val="0FAD08ED"/>
    <w:rsid w:val="100D0676"/>
    <w:rsid w:val="10A23C41"/>
    <w:rsid w:val="11113C16"/>
    <w:rsid w:val="119A47CB"/>
    <w:rsid w:val="13A63ACA"/>
    <w:rsid w:val="14175BB0"/>
    <w:rsid w:val="14882CBA"/>
    <w:rsid w:val="14922FE9"/>
    <w:rsid w:val="14E75DFB"/>
    <w:rsid w:val="14EE3866"/>
    <w:rsid w:val="15180BA4"/>
    <w:rsid w:val="15420113"/>
    <w:rsid w:val="15DC43E5"/>
    <w:rsid w:val="15EA1883"/>
    <w:rsid w:val="16503E5D"/>
    <w:rsid w:val="16714F7E"/>
    <w:rsid w:val="16BA5DAD"/>
    <w:rsid w:val="171A032B"/>
    <w:rsid w:val="17324FA7"/>
    <w:rsid w:val="18510A99"/>
    <w:rsid w:val="188340A0"/>
    <w:rsid w:val="18C84236"/>
    <w:rsid w:val="190B1E92"/>
    <w:rsid w:val="19285BF1"/>
    <w:rsid w:val="19A23C56"/>
    <w:rsid w:val="19B61E14"/>
    <w:rsid w:val="19EA176D"/>
    <w:rsid w:val="19EE77E2"/>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27616EA"/>
    <w:rsid w:val="241F1A4B"/>
    <w:rsid w:val="249E5BD9"/>
    <w:rsid w:val="24B05A43"/>
    <w:rsid w:val="251F58B8"/>
    <w:rsid w:val="25335A76"/>
    <w:rsid w:val="257965BE"/>
    <w:rsid w:val="25897742"/>
    <w:rsid w:val="26013AFE"/>
    <w:rsid w:val="26CD4B45"/>
    <w:rsid w:val="274E2D73"/>
    <w:rsid w:val="27AB0837"/>
    <w:rsid w:val="281B3EE1"/>
    <w:rsid w:val="283C2E70"/>
    <w:rsid w:val="296A3769"/>
    <w:rsid w:val="29B33674"/>
    <w:rsid w:val="2A04596B"/>
    <w:rsid w:val="2A1E2AB2"/>
    <w:rsid w:val="2A29419B"/>
    <w:rsid w:val="2A7D4161"/>
    <w:rsid w:val="2BBE4A09"/>
    <w:rsid w:val="2D305785"/>
    <w:rsid w:val="2DF5037E"/>
    <w:rsid w:val="2EBE628C"/>
    <w:rsid w:val="2FA22E86"/>
    <w:rsid w:val="310D5099"/>
    <w:rsid w:val="31321010"/>
    <w:rsid w:val="3162492F"/>
    <w:rsid w:val="31EE248D"/>
    <w:rsid w:val="33097BA0"/>
    <w:rsid w:val="340B487E"/>
    <w:rsid w:val="34627E5E"/>
    <w:rsid w:val="34876E3B"/>
    <w:rsid w:val="34D53509"/>
    <w:rsid w:val="362F5B1E"/>
    <w:rsid w:val="36607729"/>
    <w:rsid w:val="36DB2EFD"/>
    <w:rsid w:val="37295B73"/>
    <w:rsid w:val="373E02C1"/>
    <w:rsid w:val="37B27395"/>
    <w:rsid w:val="37F23808"/>
    <w:rsid w:val="37FA4B2D"/>
    <w:rsid w:val="38273E27"/>
    <w:rsid w:val="38AA4085"/>
    <w:rsid w:val="38DD5D05"/>
    <w:rsid w:val="39363BE6"/>
    <w:rsid w:val="3988482D"/>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2B286B"/>
    <w:rsid w:val="3F446ADE"/>
    <w:rsid w:val="3FED5CCD"/>
    <w:rsid w:val="400D4BB3"/>
    <w:rsid w:val="408221E1"/>
    <w:rsid w:val="40CF687B"/>
    <w:rsid w:val="416D6A0E"/>
    <w:rsid w:val="417D1DC2"/>
    <w:rsid w:val="43E443EC"/>
    <w:rsid w:val="446B68BB"/>
    <w:rsid w:val="44E42F3B"/>
    <w:rsid w:val="45BB73CE"/>
    <w:rsid w:val="45C06792"/>
    <w:rsid w:val="45F33725"/>
    <w:rsid w:val="45FA003E"/>
    <w:rsid w:val="46756E72"/>
    <w:rsid w:val="46813D02"/>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7177BE7"/>
    <w:rsid w:val="573E4B0A"/>
    <w:rsid w:val="577E687E"/>
    <w:rsid w:val="57E119D2"/>
    <w:rsid w:val="57ED67F5"/>
    <w:rsid w:val="588D13BE"/>
    <w:rsid w:val="58C252AC"/>
    <w:rsid w:val="58E024C3"/>
    <w:rsid w:val="592E63F2"/>
    <w:rsid w:val="59462FFB"/>
    <w:rsid w:val="59F44805"/>
    <w:rsid w:val="59F6057D"/>
    <w:rsid w:val="5A292701"/>
    <w:rsid w:val="5AC3366B"/>
    <w:rsid w:val="5AD869DE"/>
    <w:rsid w:val="5AFB10E6"/>
    <w:rsid w:val="5B0248D7"/>
    <w:rsid w:val="5B5515FE"/>
    <w:rsid w:val="5C637545"/>
    <w:rsid w:val="5C9103CC"/>
    <w:rsid w:val="5CC32BAF"/>
    <w:rsid w:val="5E042C8B"/>
    <w:rsid w:val="5EB034DE"/>
    <w:rsid w:val="5EC15AC0"/>
    <w:rsid w:val="5ECA1FD8"/>
    <w:rsid w:val="5EED3477"/>
    <w:rsid w:val="5F1017E6"/>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6CE6580"/>
    <w:rsid w:val="67292C52"/>
    <w:rsid w:val="67714DB8"/>
    <w:rsid w:val="677E3D99"/>
    <w:rsid w:val="67BA3663"/>
    <w:rsid w:val="682503E0"/>
    <w:rsid w:val="696B473F"/>
    <w:rsid w:val="69F6673E"/>
    <w:rsid w:val="6A480FCB"/>
    <w:rsid w:val="6B99622E"/>
    <w:rsid w:val="6BCF7654"/>
    <w:rsid w:val="6C1F1AD0"/>
    <w:rsid w:val="6C3111FA"/>
    <w:rsid w:val="6C400B72"/>
    <w:rsid w:val="6CC61070"/>
    <w:rsid w:val="6CE25242"/>
    <w:rsid w:val="6D4653C0"/>
    <w:rsid w:val="6DC009DD"/>
    <w:rsid w:val="6E5B59D0"/>
    <w:rsid w:val="6E843F52"/>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E9F4271"/>
    <w:rsid w:val="7EF202FF"/>
    <w:rsid w:val="7F0F7867"/>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default" w:ascii="Times New Roman" w:hAnsi="Times New Roman" w:cs="Times New Roman"/>
      <w:color w:val="000000"/>
      <w:sz w:val="22"/>
      <w:szCs w:val="22"/>
      <w:u w:val="none"/>
    </w:rPr>
  </w:style>
  <w:style w:type="character" w:customStyle="1" w:styleId="82">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3649</Words>
  <Characters>4087</Characters>
  <Lines>212</Lines>
  <Paragraphs>59</Paragraphs>
  <TotalTime>0</TotalTime>
  <ScaleCrop>false</ScaleCrop>
  <LinksUpToDate>false</LinksUpToDate>
  <CharactersWithSpaces>4124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2025-08-21T09:04:18Z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