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26397">
      <w:pPr>
        <w:bidi w:val="0"/>
        <w:jc w:val="center"/>
      </w:pPr>
      <w:bookmarkStart w:id="11" w:name="_GoBack"/>
      <w:bookmarkEnd w:id="11"/>
    </w:p>
    <w:p w14:paraId="3BFFE352">
      <w:pPr>
        <w:pStyle w:val="20"/>
      </w:pPr>
    </w:p>
    <w:p w14:paraId="2C9BE112"/>
    <w:p w14:paraId="5CE5546F"/>
    <w:p w14:paraId="2A345469"/>
    <w:p w14:paraId="0A6B4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bookmarkStart w:id="0" w:name="_Toc6385"/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中山大学附属第八医院</w:t>
      </w:r>
    </w:p>
    <w:p w14:paraId="286D8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数据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湖仓一体</w:t>
      </w:r>
      <w:bookmarkEnd w:id="0"/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化系统需求</w:t>
      </w:r>
    </w:p>
    <w:p w14:paraId="0FFE29BD">
      <w:pPr>
        <w:bidi w:val="0"/>
        <w:jc w:val="center"/>
      </w:pPr>
    </w:p>
    <w:p w14:paraId="1D6285D7">
      <w:pPr>
        <w:bidi w:val="0"/>
        <w:jc w:val="center"/>
      </w:pPr>
    </w:p>
    <w:p w14:paraId="2B7BE9BE">
      <w:pPr>
        <w:bidi w:val="0"/>
        <w:jc w:val="center"/>
      </w:pPr>
    </w:p>
    <w:p w14:paraId="05D9E1C3">
      <w:pPr>
        <w:bidi w:val="0"/>
        <w:jc w:val="center"/>
      </w:pPr>
    </w:p>
    <w:p w14:paraId="0D901A6B">
      <w:pPr>
        <w:bidi w:val="0"/>
        <w:jc w:val="center"/>
      </w:pPr>
    </w:p>
    <w:p w14:paraId="547BF662">
      <w:pPr>
        <w:bidi w:val="0"/>
        <w:jc w:val="center"/>
      </w:pPr>
    </w:p>
    <w:p w14:paraId="3730856F">
      <w:pPr>
        <w:bidi w:val="0"/>
        <w:jc w:val="center"/>
      </w:pPr>
    </w:p>
    <w:p w14:paraId="5775976E">
      <w:pPr>
        <w:bidi w:val="0"/>
        <w:jc w:val="center"/>
      </w:pPr>
    </w:p>
    <w:p w14:paraId="2797347A">
      <w:pPr>
        <w:bidi w:val="0"/>
        <w:jc w:val="center"/>
      </w:pPr>
    </w:p>
    <w:p w14:paraId="3032D50E">
      <w:pPr>
        <w:bidi w:val="0"/>
        <w:jc w:val="center"/>
      </w:pPr>
    </w:p>
    <w:p w14:paraId="1C6D9399">
      <w:pPr>
        <w:bidi w:val="0"/>
        <w:jc w:val="center"/>
      </w:pPr>
    </w:p>
    <w:p w14:paraId="52669487">
      <w:pPr>
        <w:bidi w:val="0"/>
        <w:jc w:val="center"/>
        <w:rPr>
          <w:rFonts w:hint="eastAsia"/>
          <w:lang w:val="en-US" w:eastAsia="zh-CN"/>
        </w:rPr>
      </w:pPr>
    </w:p>
    <w:p w14:paraId="6392B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</w:p>
    <w:p w14:paraId="35DE97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sdt>
      <w:sdtPr>
        <w:rPr>
          <w:rFonts w:ascii="宋体" w:hAnsi="宋体" w:eastAsia="宋体" w:cs="Arial"/>
          <w:b/>
          <w:bCs/>
          <w:color w:val="333333"/>
          <w:kern w:val="2"/>
          <w:sz w:val="28"/>
          <w:szCs w:val="28"/>
          <w:lang w:val="en-US" w:eastAsia="zh-CN" w:bidi="ar-SA"/>
        </w:rPr>
        <w:id w:val="147465770"/>
        <w15:color w:val="DBDBDB"/>
        <w:docPartObj>
          <w:docPartGallery w:val="Table of Contents"/>
          <w:docPartUnique/>
        </w:docPartObj>
      </w:sdtPr>
      <w:sdtEndPr>
        <w:rPr>
          <w:rFonts w:hint="eastAsia" w:ascii="Arial" w:hAnsi="Arial" w:eastAsia="宋体" w:cs="Arial"/>
          <w:b/>
          <w:bCs/>
          <w:color w:val="333333"/>
          <w:kern w:val="2"/>
          <w:sz w:val="24"/>
          <w:szCs w:val="24"/>
          <w:lang w:val="en-US" w:eastAsia="zh-CN" w:bidi="ar-SA"/>
        </w:rPr>
      </w:sdtEndPr>
      <w:sdtContent>
        <w:p w14:paraId="1E5321A9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28"/>
              <w:szCs w:val="28"/>
            </w:rPr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 w14:paraId="3BDA43A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28"/>
              <w:szCs w:val="28"/>
            </w:rPr>
          </w:pPr>
        </w:p>
        <w:p w14:paraId="6AE9C1CD">
          <w:pPr>
            <w:pStyle w:val="15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"1-3"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_Toc13965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  <w:lang w:val="en-US" w:eastAsia="zh-CN"/>
            </w:rPr>
            <w:t>项目背景与目标</w:t>
          </w:r>
          <w:r>
            <w:tab/>
          </w:r>
          <w:r>
            <w:fldChar w:fldCharType="begin"/>
          </w:r>
          <w:r>
            <w:instrText xml:space="preserve"> PAGEREF _Toc13965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40962157">
          <w:pPr>
            <w:pStyle w:val="17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_Toc11000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</w:rPr>
            <w:t>1.1. ‌项目背景‌</w:t>
          </w:r>
          <w:r>
            <w:tab/>
          </w:r>
          <w:r>
            <w:fldChar w:fldCharType="begin"/>
          </w:r>
          <w:r>
            <w:instrText xml:space="preserve"> PAGEREF _Toc11000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590FEEC7">
          <w:pPr>
            <w:pStyle w:val="17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_Toc28118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</w:rPr>
            <w:t>1.2. ‌项目目标‌</w:t>
          </w:r>
          <w:r>
            <w:tab/>
          </w:r>
          <w:r>
            <w:fldChar w:fldCharType="begin"/>
          </w:r>
          <w:r>
            <w:instrText xml:space="preserve"> PAGEREF _Toc28118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5E05FCAD">
          <w:pPr>
            <w:pStyle w:val="17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</w:rPr>
            <w:t xml:space="preserve">1.3. </w:t>
          </w:r>
          <w:r>
            <w:rPr>
              <w:rFonts w:hint="eastAsia"/>
              <w:lang w:val="en-US" w:eastAsia="zh-CN"/>
            </w:rPr>
            <w:t>项目名称</w:t>
          </w:r>
          <w:r>
            <w:tab/>
          </w:r>
          <w:r>
            <w:fldChar w:fldCharType="begin"/>
          </w:r>
          <w:r>
            <w:instrText xml:space="preserve"> PAGEREF _Toc208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4A280361">
          <w:pPr>
            <w:pStyle w:val="15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_Toc16722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rPr>
              <w:rFonts w:hint="eastAsia"/>
              <w:lang w:val="en-US" w:eastAsia="zh-CN"/>
            </w:rPr>
            <w:t>功能需求</w:t>
          </w:r>
          <w:r>
            <w:tab/>
          </w:r>
          <w:r>
            <w:fldChar w:fldCharType="begin"/>
          </w:r>
          <w:r>
            <w:instrText xml:space="preserve"> PAGEREF _Toc16722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3ACE31D9">
          <w:pPr>
            <w:pStyle w:val="17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_Toc12012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</w:rPr>
            <w:t xml:space="preserve">2.1. </w:t>
          </w:r>
          <w:r>
            <w:rPr>
              <w:rFonts w:hint="eastAsia"/>
              <w:lang w:val="en-US" w:eastAsia="zh-CN"/>
            </w:rPr>
            <w:t>系统需求</w:t>
          </w:r>
          <w:r>
            <w:tab/>
          </w:r>
          <w:r>
            <w:fldChar w:fldCharType="begin"/>
          </w:r>
          <w:r>
            <w:instrText xml:space="preserve"> PAGEREF _Toc12012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46027D57">
          <w:pPr>
            <w:pStyle w:val="17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_Toc18032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</w:rPr>
            <w:t xml:space="preserve">2.2. </w:t>
          </w:r>
          <w:r>
            <w:rPr>
              <w:rFonts w:hint="eastAsia"/>
              <w:lang w:val="en-US" w:eastAsia="zh-CN"/>
            </w:rPr>
            <w:t>硬件需求</w:t>
          </w:r>
          <w:r>
            <w:tab/>
          </w:r>
          <w:r>
            <w:fldChar w:fldCharType="begin"/>
          </w:r>
          <w:r>
            <w:instrText xml:space="preserve"> PAGEREF _Toc18032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341C0A1F">
          <w:pPr>
            <w:pStyle w:val="17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_Toc21984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</w:rPr>
            <w:t xml:space="preserve">2.3. </w:t>
          </w:r>
          <w:r>
            <w:rPr>
              <w:rFonts w:hint="eastAsia"/>
              <w:lang w:val="en-US" w:eastAsia="zh-CN"/>
            </w:rPr>
            <w:t>对接需求</w:t>
          </w:r>
          <w:r>
            <w:tab/>
          </w:r>
          <w:r>
            <w:fldChar w:fldCharType="begin"/>
          </w:r>
          <w:r>
            <w:instrText xml:space="preserve"> PAGEREF _Toc21984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271B768F">
          <w:pPr>
            <w:pStyle w:val="17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</w:rPr>
            <w:t xml:space="preserve">2.4. </w:t>
          </w:r>
          <w:r>
            <w:rPr>
              <w:rFonts w:hint="eastAsia"/>
              <w:lang w:val="en-US" w:eastAsia="zh-CN"/>
            </w:rPr>
            <w:t>服务需求</w:t>
          </w:r>
          <w:r>
            <w:tab/>
          </w:r>
          <w:r>
            <w:fldChar w:fldCharType="begin"/>
          </w:r>
          <w:r>
            <w:instrText xml:space="preserve"> PAGEREF _Toc201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1F1A8FD8">
          <w:pPr>
            <w:pStyle w:val="17"/>
            <w:tabs>
              <w:tab w:val="right" w:leader="dot" w:pos="8312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_Toc8915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2.5. </w:t>
          </w:r>
          <w:r>
            <w:rPr>
              <w:rFonts w:hint="eastAsia"/>
              <w:lang w:val="en-US" w:eastAsia="zh-CN"/>
            </w:rPr>
            <w:t>运维服务需求</w:t>
          </w:r>
          <w:r>
            <w:tab/>
          </w:r>
          <w:r>
            <w:fldChar w:fldCharType="begin"/>
          </w:r>
          <w:r>
            <w:instrText xml:space="preserve"> PAGEREF _Toc8915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 w14:paraId="4C3834F4">
          <w:pPr>
            <w:rPr>
              <w:rFonts w:hint="eastAsia" w:ascii="Arial" w:hAnsi="Arial" w:eastAsia="宋体" w:cs="Arial"/>
              <w:color w:val="333333"/>
              <w:kern w:val="2"/>
              <w:sz w:val="24"/>
              <w:szCs w:val="24"/>
              <w:lang w:val="en-US" w:eastAsia="zh-CN" w:bidi="ar-SA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 w14:paraId="4165C626">
      <w:pPr>
        <w:rPr>
          <w:rFonts w:hint="eastAsia" w:ascii="Arial" w:hAnsi="Arial" w:eastAsia="宋体" w:cs="Arial"/>
          <w:color w:val="333333"/>
          <w:kern w:val="2"/>
          <w:sz w:val="24"/>
          <w:szCs w:val="24"/>
          <w:lang w:val="en-US" w:eastAsia="zh-CN" w:bidi="ar-SA"/>
        </w:rPr>
      </w:pPr>
    </w:p>
    <w:p w14:paraId="7D34DB1D">
      <w:pPr>
        <w:pStyle w:val="2"/>
        <w:bidi w:val="0"/>
        <w:sectPr>
          <w:pgSz w:w="11906" w:h="16838"/>
          <w:pgMar w:top="1440" w:right="1797" w:bottom="1440" w:left="1797" w:header="851" w:footer="992" w:gutter="0"/>
          <w:cols w:space="0" w:num="1"/>
          <w:docGrid w:type="lines" w:linePitch="387" w:charSpace="0"/>
        </w:sectPr>
      </w:pPr>
    </w:p>
    <w:p w14:paraId="2FF451DF">
      <w:pPr>
        <w:pStyle w:val="2"/>
        <w:bidi w:val="0"/>
      </w:pPr>
      <w:bookmarkStart w:id="1" w:name="_Toc13965"/>
      <w:r>
        <w:rPr>
          <w:rFonts w:hint="eastAsia"/>
          <w:lang w:val="en-US" w:eastAsia="zh-CN"/>
        </w:rPr>
        <w:t>项目背景与目标</w:t>
      </w:r>
      <w:bookmarkEnd w:id="1"/>
    </w:p>
    <w:p w14:paraId="79C4AA36">
      <w:pPr>
        <w:pStyle w:val="3"/>
        <w:bidi w:val="0"/>
      </w:pPr>
      <w:bookmarkStart w:id="2" w:name="_Toc11000"/>
      <w:r>
        <w:rPr>
          <w:rFonts w:hint="default"/>
        </w:rPr>
        <w:t>‌项目背景‌</w:t>
      </w:r>
      <w:bookmarkEnd w:id="2"/>
    </w:p>
    <w:p w14:paraId="249B9B38">
      <w:pPr>
        <w:snapToGrid/>
        <w:spacing w:before="0" w:after="0" w:line="360" w:lineRule="auto"/>
        <w:ind w:left="0" w:right="0" w:firstLine="0"/>
        <w:jc w:val="both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随着</w:t>
      </w:r>
      <w:r>
        <w:rPr>
          <w:rFonts w:hint="eastAsia" w:ascii="宋体" w:hAnsi="宋体" w:cs="宋体"/>
          <w:i w:val="0"/>
          <w:strike w:val="0"/>
          <w:color w:val="000000"/>
          <w:sz w:val="24"/>
          <w:u w:val="none"/>
          <w:lang w:val="en-US" w:eastAsia="zh-CN"/>
        </w:rPr>
        <w:t>医院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信息</w:t>
      </w:r>
      <w:r>
        <w:rPr>
          <w:rFonts w:hint="eastAsia" w:ascii="宋体" w:hAnsi="宋体" w:cs="宋体"/>
          <w:i w:val="0"/>
          <w:strike w:val="0"/>
          <w:color w:val="000000"/>
          <w:sz w:val="24"/>
          <w:u w:val="none"/>
          <w:lang w:val="en-US" w:eastAsia="zh-CN"/>
        </w:rPr>
        <w:t>系统的建设和使用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，医院积累了大量的医疗数据，包括结构化数据（如电子病历、检验检查结果）、半结构化数据（如HL7、FHIR格式的临床文档）以及非结构化数据（如医学影像、基因测序数据、手术视频等）。这些数据蕴含着巨大的临床和科研价值，但传统的数据仓库架构在处理这些多模态、高复杂度的医疗数据时存在局限性，导致数据孤岛现象严重，数据价值无法被充分挖掘和利用。</w:t>
      </w:r>
    </w:p>
    <w:p w14:paraId="09D3DD1F">
      <w:pPr>
        <w:snapToGrid/>
        <w:spacing w:before="0" w:after="0" w:line="360" w:lineRule="auto"/>
        <w:ind w:left="0" w:right="0" w:firstLine="0"/>
        <w:jc w:val="both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为了打破这一困境，提高</w:t>
      </w:r>
      <w:r>
        <w:rPr>
          <w:rFonts w:hint="eastAsia" w:ascii="宋体" w:hAnsi="宋体" w:cs="宋体"/>
          <w:i w:val="0"/>
          <w:strike w:val="0"/>
          <w:color w:val="000000"/>
          <w:sz w:val="24"/>
          <w:u w:val="none"/>
          <w:lang w:val="en-US" w:eastAsia="zh-CN"/>
        </w:rPr>
        <w:t>我院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医疗数据的管理效率和利用价值，</w:t>
      </w:r>
      <w:r>
        <w:rPr>
          <w:rFonts w:hint="eastAsia" w:ascii="宋体" w:hAnsi="宋体" w:cs="宋体"/>
          <w:i w:val="0"/>
          <w:strike w:val="0"/>
          <w:color w:val="000000"/>
          <w:sz w:val="24"/>
          <w:u w:val="none"/>
          <w:lang w:val="en-US" w:eastAsia="zh-CN"/>
        </w:rPr>
        <w:t>拟通过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湖仓一体</w:t>
      </w:r>
      <w:r>
        <w:rPr>
          <w:rFonts w:hint="eastAsia" w:ascii="宋体" w:hAnsi="宋体" w:cs="宋体"/>
          <w:i w:val="0"/>
          <w:strike w:val="0"/>
          <w:color w:val="000000"/>
          <w:sz w:val="24"/>
          <w:u w:val="none"/>
          <w:lang w:val="en-US" w:eastAsia="zh-CN"/>
        </w:rPr>
        <w:t>的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技术方案</w:t>
      </w:r>
      <w:r>
        <w:rPr>
          <w:rFonts w:hint="eastAsia" w:ascii="宋体" w:hAnsi="宋体" w:cs="宋体"/>
          <w:i w:val="0"/>
          <w:strike w:val="0"/>
          <w:color w:val="000000"/>
          <w:sz w:val="24"/>
          <w:u w:val="none"/>
          <w:lang w:eastAsia="zh-CN"/>
        </w:rPr>
        <w:t>，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构建一个统一、高效、可扩展的多模态数据处理平台，实现医疗数据的全面整合、高效管理和智能应用，为临床诊疗、科研创新及医院管理提供全量数据支持。</w:t>
      </w:r>
    </w:p>
    <w:p w14:paraId="2C0BFDDF">
      <w:pPr>
        <w:pStyle w:val="3"/>
        <w:bidi w:val="0"/>
        <w:rPr>
          <w:rFonts w:hint="default"/>
        </w:rPr>
      </w:pPr>
      <w:bookmarkStart w:id="3" w:name="_Toc28118"/>
      <w:r>
        <w:rPr>
          <w:rFonts w:hint="default"/>
        </w:rPr>
        <w:t>‌项目目标‌</w:t>
      </w:r>
      <w:bookmarkEnd w:id="3"/>
    </w:p>
    <w:p w14:paraId="7B1FC182">
      <w:pPr>
        <w:snapToGrid/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hint="default" w:ascii="宋体" w:hAnsi="宋体" w:eastAsia="宋体" w:cs="宋体"/>
          <w:b/>
          <w:bCs/>
          <w:i w:val="0"/>
          <w:strike w:val="0"/>
          <w:color w:val="000000"/>
          <w:sz w:val="24"/>
          <w:u w:val="none"/>
        </w:rPr>
        <w:t>‌构建统一数据平台‌：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实现结构化、半结构化、非结构化数据的统一存储与管理，消除数据孤岛，提高数据可用性。</w:t>
      </w:r>
    </w:p>
    <w:p w14:paraId="54E50A36">
      <w:pPr>
        <w:snapToGrid/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hint="default" w:ascii="宋体" w:hAnsi="宋体" w:eastAsia="宋体" w:cs="宋体"/>
          <w:b/>
          <w:bCs/>
          <w:i w:val="0"/>
          <w:strike w:val="0"/>
          <w:color w:val="000000"/>
          <w:sz w:val="24"/>
          <w:u w:val="none"/>
        </w:rPr>
        <w:t>‌提升数据处理能力‌：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支持批处理与流处理，实现数据的实时入湖与高效分析，满足临床诊疗与科研创新的实时数据需求。</w:t>
      </w:r>
    </w:p>
    <w:p w14:paraId="254A1633">
      <w:pPr>
        <w:snapToGrid/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hint="default" w:ascii="宋体" w:hAnsi="宋体" w:eastAsia="宋体" w:cs="宋体"/>
          <w:b/>
          <w:bCs/>
          <w:i w:val="0"/>
          <w:strike w:val="0"/>
          <w:color w:val="000000"/>
          <w:sz w:val="24"/>
          <w:u w:val="none"/>
        </w:rPr>
        <w:t>‌优化数据治理体系‌：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建立元数据管理、数据治理与数据质量管控体系，确保数据的准确性、完整性和安全性。</w:t>
      </w:r>
    </w:p>
    <w:p w14:paraId="2F795ACF">
      <w:pPr>
        <w:snapToGrid/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hint="default" w:ascii="宋体" w:hAnsi="宋体" w:eastAsia="宋体" w:cs="宋体"/>
          <w:b/>
          <w:bCs/>
          <w:i w:val="0"/>
          <w:strike w:val="0"/>
          <w:color w:val="000000"/>
          <w:sz w:val="24"/>
          <w:u w:val="none"/>
        </w:rPr>
        <w:t>‌推动数据智能应用‌：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支持AI、BI等智能应用的开发与部署，为临床诊疗、科研创新及医院管理提供智能化决策支持。</w:t>
      </w:r>
    </w:p>
    <w:p w14:paraId="1B77D747">
      <w:pPr>
        <w:snapToGrid/>
        <w:spacing w:before="0" w:after="0" w:line="360" w:lineRule="auto"/>
        <w:ind w:left="0" w:right="0" w:firstLine="0"/>
        <w:jc w:val="both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hint="default" w:ascii="宋体" w:hAnsi="宋体" w:eastAsia="宋体" w:cs="宋体"/>
          <w:b/>
          <w:bCs/>
          <w:i w:val="0"/>
          <w:strike w:val="0"/>
          <w:color w:val="000000"/>
          <w:sz w:val="24"/>
          <w:u w:val="none"/>
        </w:rPr>
        <w:t>‌降低运营成本‌：</w:t>
      </w:r>
      <w:r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</w:rPr>
        <w:t>通过冷热数据分层与成本优化策略，降低数据存储与处理成本，提高资源利用效率。</w:t>
      </w:r>
    </w:p>
    <w:p w14:paraId="51115932">
      <w:pPr>
        <w:bidi w:val="0"/>
        <w:rPr>
          <w:rFonts w:hint="default" w:ascii="宋体" w:hAnsi="宋体" w:eastAsia="宋体" w:cs="宋体"/>
          <w:b w:val="0"/>
          <w:bCs w:val="0"/>
          <w:i w:val="0"/>
          <w:strike w:val="0"/>
          <w:color w:val="000000"/>
          <w:sz w:val="24"/>
          <w:u w:val="none"/>
        </w:rPr>
      </w:pPr>
      <w:r>
        <w:rPr>
          <w:rFonts w:hint="default" w:ascii="宋体" w:hAnsi="宋体" w:eastAsia="宋体" w:cs="宋体"/>
          <w:b/>
          <w:bCs/>
          <w:i w:val="0"/>
          <w:strike w:val="0"/>
          <w:color w:val="000000"/>
          <w:sz w:val="24"/>
          <w:u w:val="none"/>
        </w:rPr>
        <w:t>提供全面科研数据支持‌：</w:t>
      </w:r>
      <w:r>
        <w:rPr>
          <w:rFonts w:hint="default" w:ascii="宋体" w:hAnsi="宋体" w:eastAsia="宋体" w:cs="宋体"/>
          <w:b w:val="0"/>
          <w:bCs w:val="0"/>
          <w:i w:val="0"/>
          <w:strike w:val="0"/>
          <w:color w:val="000000"/>
          <w:sz w:val="24"/>
          <w:u w:val="none"/>
        </w:rPr>
        <w:t>整合多模态医疗数据，为科研项目提供全面、准确的数据资源，加速科研成果的产出。</w:t>
      </w:r>
    </w:p>
    <w:p w14:paraId="23F449A6">
      <w:pPr>
        <w:pStyle w:val="3"/>
        <w:bidi w:val="0"/>
      </w:pPr>
      <w:bookmarkStart w:id="4" w:name="_Toc208"/>
      <w:r>
        <w:rPr>
          <w:rFonts w:hint="eastAsia"/>
          <w:lang w:val="en-US" w:eastAsia="zh-CN"/>
        </w:rPr>
        <w:t>项目名称</w:t>
      </w:r>
      <w:bookmarkEnd w:id="4"/>
    </w:p>
    <w:p w14:paraId="430F8906">
      <w:pPr>
        <w:bidi w:val="0"/>
        <w:rPr>
          <w:rFonts w:hint="default" w:ascii="宋体" w:hAnsi="宋体" w:eastAsia="宋体" w:cs="宋体"/>
          <w:b w:val="0"/>
          <w:bCs w:val="0"/>
          <w:i w:val="0"/>
          <w:strike w:val="0"/>
          <w:color w:val="000000"/>
          <w:sz w:val="24"/>
          <w:u w:val="none"/>
        </w:rPr>
      </w:pPr>
      <w:r>
        <w:rPr>
          <w:rFonts w:hint="eastAsia"/>
          <w:lang w:val="en-US" w:eastAsia="zh-CN"/>
        </w:rPr>
        <w:t>数据湖仓一体化系统</w:t>
      </w:r>
      <w:r>
        <w:rPr>
          <w:rFonts w:hint="default"/>
        </w:rPr>
        <w:t>‌</w:t>
      </w:r>
    </w:p>
    <w:p w14:paraId="54BEEB4D">
      <w:pPr>
        <w:pStyle w:val="2"/>
        <w:bidi w:val="0"/>
      </w:pPr>
      <w:bookmarkStart w:id="5" w:name="_Toc16722"/>
      <w:r>
        <w:rPr>
          <w:rFonts w:hint="eastAsia"/>
          <w:lang w:val="en-US" w:eastAsia="zh-CN"/>
        </w:rPr>
        <w:t>功能需求</w:t>
      </w:r>
      <w:bookmarkEnd w:id="5"/>
    </w:p>
    <w:p w14:paraId="721F04D4">
      <w:pPr>
        <w:pStyle w:val="3"/>
        <w:bidi w:val="0"/>
      </w:pPr>
      <w:bookmarkStart w:id="6" w:name="_Toc12012"/>
      <w:r>
        <w:rPr>
          <w:rFonts w:hint="eastAsia"/>
          <w:lang w:val="en-US" w:eastAsia="zh-CN"/>
        </w:rPr>
        <w:t>系统需求</w:t>
      </w:r>
      <w:bookmarkEnd w:id="6"/>
    </w:p>
    <w:tbl>
      <w:tblPr>
        <w:tblStyle w:val="21"/>
        <w:tblW w:w="48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77"/>
        <w:gridCol w:w="856"/>
        <w:gridCol w:w="1117"/>
        <w:gridCol w:w="1080"/>
        <w:gridCol w:w="3111"/>
      </w:tblGrid>
      <w:tr w14:paraId="43C6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92FD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374A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8A7E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模块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1E99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功能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660E">
            <w:pPr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5D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功能描述</w:t>
            </w:r>
          </w:p>
        </w:tc>
      </w:tr>
      <w:tr w14:paraId="714B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45C3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A176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湖仓一体数据平台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2222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数据管理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F809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数据湖管理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A139">
            <w:pPr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B970"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支持对数据湖统计的展示，展示存储总数、文件总数、库总数、表总数等存储信息。各存储信息的变化趋势，存储格式分布等汇总信息，同时支持新增和查看数据湖的路径；</w:t>
            </w:r>
          </w:p>
          <w:p w14:paraId="4370BB09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支持影像（CT/MRI/DICOM）、基因组学（FASTQ/VCF）、音视频（内窥镜录像、手术直播）、电子病历（半结构化文本）等结构化、半结构化、非结构化数据的原生存储；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通过Hudi等数据表格式管理软件，支持 ACID 事务，基于Hudi的时间旅行(Time Travel)功能，对历史病历、影像分析的回溯；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支持统一元数据与权限管理。</w:t>
            </w:r>
          </w:p>
        </w:tc>
      </w:tr>
      <w:tr w14:paraId="1FE0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4D94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C87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389E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4C85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数据源管理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40C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4161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支持接入各类数据源类型，包括常见的关系型数据库、非关系型数据库、大数据存储、半结构化存储等</w:t>
            </w:r>
          </w:p>
        </w:tc>
      </w:tr>
      <w:tr w14:paraId="3167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B623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CF29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A71E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BD1F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元数据管理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19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7F80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对元数据进行检索、自动采集和管理等操作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支持元数据自动发现与版本溯源，支持元数据与数据生命周期联动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支持查看用户有权限的元数据列表，对元数据进行主题、库、表级别的管理，支持库的新增和删除、表的新增和删除、及库表的权限管理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具备完整元数据登记，支持技术、业务、安全等多维元数据关联。</w:t>
            </w:r>
          </w:p>
        </w:tc>
      </w:tr>
      <w:tr w14:paraId="66E1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7937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F124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2653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0851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资产管理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B0F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84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对数据资产进行全面管理和展示，包括资产首页、资产地图等，资产包括主要包括数据接口实时运行情况、今日资产、累计资产、任务调度以及冷热表运行情况；同时能够多维度展示数据资产运行情况。</w:t>
            </w:r>
          </w:p>
        </w:tc>
      </w:tr>
      <w:tr w14:paraId="1258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BFD8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7EBE">
            <w:pPr>
              <w:rPr>
                <w:rFonts w:hint="eastAsia"/>
              </w:rPr>
            </w:pP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7DBF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数据加工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EDC1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数据集成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CAB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2C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支持离线和实时的数据同步与采集：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1）支持采用DataX用于实现离线数据、异构数据间的同步，采用Spark用于增量处理数据，采用Sqoop,有效解决hadoop与关系型数据库之间传输问题；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2）通过集成 Apache Flink 和Flink CDC技术，实现高效、低延迟的实时数据同步。实时捕获源数据库的变更事件，并将这些变更以毫秒级延迟同步到目标系统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3）系统既能处理大批量的数据，也能处理持续流动的数据。通过“实时入湖”将数据存到数据湖里，通过Flink CDC做增量处理，最后通过Trino实现秒级查询。从以前ETL到现在的秒级临床反馈，全场景需求都能满足。</w:t>
            </w:r>
          </w:p>
        </w:tc>
      </w:tr>
      <w:tr w14:paraId="13D7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0CC3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A61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042A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0348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数据开发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9AB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B829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离线开发和实时开发数据，包括工作流创建、执行等，通过可视化拖拽自定义编写脚本创建输入工作流，将数据导入到资产库中；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系统可通过任务配置文件（yml）与维表策略配置，实现任务动态加载、变更策略更新、实时调度等能力，增强整体系统的灵活性和可运维性。</w:t>
            </w:r>
          </w:p>
        </w:tc>
      </w:tr>
      <w:tr w14:paraId="6FEE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FDB2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5BA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DF85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47E5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数据清洗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82E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9D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对数据进行清洗、转换和加载等操作，支持清洗残缺数据、错误数据和重复数据，并支持数据清洗时进行数据校验，确保数据过滤的正确性和准确性</w:t>
            </w:r>
          </w:p>
        </w:tc>
      </w:tr>
      <w:tr w14:paraId="584C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A017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8DCA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286B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62E4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数据转换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717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586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数据进行格式转换和标化操作，对业务字符类型、日期、数字等类型数据进行统一的格式转换，保障数据格式的一致性存储。对各业务使用的值域，通过主数据系统的映射操作进行数据标化转换，保障数据含义的一致性存储</w:t>
            </w:r>
          </w:p>
        </w:tc>
      </w:tr>
      <w:tr w14:paraId="102F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116B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821F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F71E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D95C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数据采集监控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D6D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9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对工作流和任务实例进行监控和管理。可快速发现问题排查问题定位到失败工作流，排查解决，手动重跑工作流</w:t>
            </w:r>
          </w:p>
        </w:tc>
      </w:tr>
      <w:tr w14:paraId="26AE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D520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A6FA">
            <w:pPr>
              <w:rPr>
                <w:rFonts w:hint="eastAsia"/>
              </w:rPr>
            </w:pP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5621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数据治理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E26E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数据地图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61B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D5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数据地图基于元数据采集提供各类数据检索、数据血缘、数据质量、版本信息查看等功能</w:t>
            </w:r>
          </w:p>
        </w:tc>
      </w:tr>
      <w:tr w14:paraId="321F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A842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2B41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D02F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D17A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数据血缘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5D0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6AB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监控元数据和相关任务变化状态，进行血缘解析，提供数据在生产流转过程中的血缘关系</w:t>
            </w:r>
          </w:p>
        </w:tc>
      </w:tr>
      <w:tr w14:paraId="012C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4A02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BFC1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CD2B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9E27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数据质量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1FB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F1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对数据质量进行规范管理、质控项管理、主题管理等，生成质控报告，进一步保障数据湖的数据质量</w:t>
            </w:r>
          </w:p>
        </w:tc>
      </w:tr>
      <w:tr w14:paraId="4EED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0768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1017">
            <w:pPr>
              <w:rPr>
                <w:rFonts w:hint="eastAsia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7122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数据安全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5E7E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数据安全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1F0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00DC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对数据进行脱敏、水印管理，支持建立多层级数据访问权限控制体系，进一步保障数据的安全性和可靠性</w:t>
            </w:r>
          </w:p>
        </w:tc>
      </w:tr>
      <w:tr w14:paraId="3C5B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B00B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79EA">
            <w:pPr>
              <w:rPr>
                <w:rFonts w:hint="eastAsia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0889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数据服务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3B38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数据服务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21A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31E2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对数据服务接口进行统一管理、接口管理、角色管理等</w:t>
            </w:r>
          </w:p>
        </w:tc>
      </w:tr>
      <w:tr w14:paraId="36D6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E83B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C1A8">
            <w:pPr>
              <w:rPr>
                <w:rFonts w:hint="eastAsia"/>
              </w:rPr>
            </w:pP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7B50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临床数据中心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3215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建模与部署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C47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1BC6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涵盖对患者基本信息、就诊信息、门诊处方、临床诊断、住院病历（支持非结构化与半结构化数据）、住院医嘱、输血及配发血记录、手麻记录、检验与检查申请单、门诊病历、体征记录、护理病历（支持非结构化数据）、检验报告、PACS报告及病理报告等各类医疗信息的模型设计与运营库数据集成，以实现这些信息的连续性存储与管理。</w:t>
            </w:r>
          </w:p>
        </w:tc>
      </w:tr>
      <w:tr w14:paraId="3790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050E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4532">
            <w:pPr>
              <w:rPr>
                <w:rFonts w:hint="eastAsia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778A">
            <w:pPr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F91F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临床数据中心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653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A077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CDR数据仓库，依据国家卫健委标准与医院数据质量，涵盖数据对象等要素。通过CDR平台建设，确立医院数据标准与规范，采用面向服务架构（SOA）实现高度可扩展性。同时，保障数据资产持续保护，确保数据利用不受业务系统更换干扰，使医院在系统选择上拥有主动权</w:t>
            </w:r>
          </w:p>
        </w:tc>
      </w:tr>
    </w:tbl>
    <w:p w14:paraId="5F182C41"/>
    <w:p w14:paraId="15C4D7C1">
      <w:pPr>
        <w:pStyle w:val="3"/>
        <w:bidi w:val="0"/>
      </w:pPr>
      <w:bookmarkStart w:id="7" w:name="_Toc18032"/>
      <w:r>
        <w:rPr>
          <w:rFonts w:hint="eastAsia"/>
          <w:lang w:val="en-US" w:eastAsia="zh-CN"/>
        </w:rPr>
        <w:t>硬件需求</w:t>
      </w:r>
      <w:bookmarkEnd w:id="7"/>
    </w:p>
    <w:tbl>
      <w:tblPr>
        <w:tblStyle w:val="2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81"/>
        <w:gridCol w:w="4769"/>
        <w:gridCol w:w="745"/>
        <w:gridCol w:w="1042"/>
      </w:tblGrid>
      <w:tr w14:paraId="5523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4896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026A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B730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配置描述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4F7C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E954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</w:tr>
      <w:tr w14:paraId="1370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0C6938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服务器和存储</w:t>
            </w:r>
          </w:p>
        </w:tc>
      </w:tr>
      <w:tr w14:paraId="0D51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2C4B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9101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HDFS存储计算节点</w:t>
            </w:r>
          </w:p>
        </w:tc>
        <w:tc>
          <w:tcPr>
            <w:tcW w:w="2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B99B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2颗24核以上处理器，1024内存，2块480G SSD硬盘，8块3.84T 硬盘，双口10Gbps网卡，双口25Gbps网卡，冗余电源，原厂3年保修。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D7D3">
            <w:pPr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1E8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</w:tr>
      <w:tr w14:paraId="0323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B11F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E6C7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ds数据服务节点</w:t>
            </w:r>
          </w:p>
        </w:tc>
        <w:tc>
          <w:tcPr>
            <w:tcW w:w="2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DDFA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2颗24核以上处理器，1024内存，2块480G SSD硬盘，8块3.84T 硬盘，双口10Gbps网卡，双口25Gbps网卡，冗余电源，原厂3年保修。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C07D">
            <w:pPr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A61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</w:tr>
      <w:tr w14:paraId="0456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A40C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FE67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HADOOP管理和应用主机</w:t>
            </w:r>
          </w:p>
        </w:tc>
        <w:tc>
          <w:tcPr>
            <w:tcW w:w="2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EB13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2颗24核以上处理器，1024内存，2块480G SSD硬盘，8块3.84T 硬盘，双口10Gbps网卡，双口25Gbps网卡，冗余电源，原厂3年保修。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8C44">
            <w:pPr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98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</w:tr>
      <w:tr w14:paraId="1BF3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CFAC2E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网络</w:t>
            </w:r>
          </w:p>
        </w:tc>
      </w:tr>
      <w:tr w14:paraId="2F61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C1EF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4302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业务网交换机</w:t>
            </w:r>
          </w:p>
        </w:tc>
        <w:tc>
          <w:tcPr>
            <w:tcW w:w="2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B50F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三层交换机，24个10Gbps光口，配置24个万兆SFP+模块，24对OM4 LC-LC光纤跳线，冗余电源，原厂3年保修。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7D62">
            <w:pPr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3A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</w:tr>
      <w:tr w14:paraId="2CB0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97A4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C53B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存储网交换机</w:t>
            </w:r>
          </w:p>
        </w:tc>
        <w:tc>
          <w:tcPr>
            <w:tcW w:w="2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901F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三层交换机，24个25Gbps光口，配置24个万兆SFP28模块，24对OM4 LC-LC光纤跳线，100Gbps直连线，冗余电源，原厂3年保修。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FF59">
            <w:pPr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0C0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</w:tr>
    </w:tbl>
    <w:p w14:paraId="4EEEAC71"/>
    <w:p w14:paraId="2891AAF4">
      <w:pPr>
        <w:pStyle w:val="3"/>
        <w:bidi w:val="0"/>
      </w:pPr>
      <w:bookmarkStart w:id="8" w:name="_Toc21984"/>
      <w:r>
        <w:rPr>
          <w:rFonts w:hint="eastAsia"/>
          <w:lang w:val="en-US" w:eastAsia="zh-CN"/>
        </w:rPr>
        <w:t>对接需求</w:t>
      </w:r>
      <w:bookmarkEnd w:id="8"/>
    </w:p>
    <w:p w14:paraId="72AEEE72">
      <w:pPr>
        <w:spacing w:line="360" w:lineRule="auto"/>
        <w:ind w:firstLine="480" w:firstLineChars="200"/>
      </w:pPr>
      <w:r>
        <w:rPr>
          <w:rFonts w:hint="eastAsia" w:ascii="仿宋" w:hAnsi="仿宋" w:eastAsia="仿宋"/>
          <w:sz w:val="24"/>
          <w:szCs w:val="32"/>
          <w:highlight w:val="yellow"/>
        </w:rPr>
        <w:t>系统提供</w:t>
      </w:r>
      <w:r>
        <w:rPr>
          <w:rFonts w:hint="eastAsia" w:ascii="仿宋" w:hAnsi="仿宋" w:eastAsia="仿宋"/>
          <w:sz w:val="24"/>
          <w:szCs w:val="32"/>
          <w:highlight w:val="yellow"/>
          <w:lang w:val="en-US" w:eastAsia="zh-CN"/>
        </w:rPr>
        <w:t>跟院内系统厂商的数据对接服务，包括接口及数据库对接联调</w:t>
      </w:r>
      <w:r>
        <w:rPr>
          <w:rFonts w:hint="eastAsia" w:ascii="仿宋" w:hAnsi="仿宋" w:eastAsia="仿宋"/>
          <w:sz w:val="24"/>
          <w:szCs w:val="32"/>
          <w:highlight w:val="yellow"/>
        </w:rPr>
        <w:t>，</w:t>
      </w:r>
      <w:r>
        <w:rPr>
          <w:rFonts w:hint="eastAsia" w:ascii="仿宋" w:hAnsi="仿宋" w:eastAsia="仿宋"/>
          <w:sz w:val="24"/>
          <w:szCs w:val="32"/>
          <w:highlight w:val="yellow"/>
          <w:lang w:val="en-US" w:eastAsia="zh-CN"/>
        </w:rPr>
        <w:t>新增院内厂商不再收费。</w:t>
      </w:r>
    </w:p>
    <w:p w14:paraId="2CE38AA6">
      <w:pPr>
        <w:pStyle w:val="3"/>
        <w:bidi w:val="0"/>
      </w:pPr>
      <w:bookmarkStart w:id="9" w:name="_Toc201"/>
      <w:r>
        <w:rPr>
          <w:rFonts w:hint="eastAsia"/>
          <w:lang w:val="en-US" w:eastAsia="zh-CN"/>
        </w:rPr>
        <w:t>服务需求</w:t>
      </w:r>
      <w:bookmarkEnd w:id="9"/>
    </w:p>
    <w:p w14:paraId="28B46A05">
      <w:pPr>
        <w:spacing w:line="360" w:lineRule="auto"/>
        <w:ind w:firstLine="480" w:firstLineChars="20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  <w:highlight w:val="yellow"/>
        </w:rPr>
        <w:t>系统提供不低于壹年免费质保，</w:t>
      </w:r>
      <w:r>
        <w:rPr>
          <w:rFonts w:hint="eastAsia" w:ascii="仿宋" w:hAnsi="仿宋" w:eastAsia="仿宋"/>
          <w:sz w:val="24"/>
          <w:szCs w:val="32"/>
        </w:rPr>
        <w:t>售后运维服务期间，提供7×</w:t>
      </w:r>
      <w:r>
        <w:rPr>
          <w:rFonts w:ascii="仿宋" w:hAnsi="仿宋" w:eastAsia="仿宋"/>
          <w:sz w:val="24"/>
          <w:szCs w:val="32"/>
        </w:rPr>
        <w:t>16</w:t>
      </w:r>
      <w:r>
        <w:rPr>
          <w:rFonts w:hint="eastAsia" w:ascii="仿宋" w:hAnsi="仿宋" w:eastAsia="仿宋"/>
          <w:sz w:val="24"/>
          <w:szCs w:val="32"/>
        </w:rPr>
        <w:t>小时热线电话、远程网络等服务方式。远程无法解决的问题，应在接到院方服务请求后12小时内到达现场解决。</w:t>
      </w:r>
    </w:p>
    <w:p w14:paraId="148E4EE2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ascii="仿宋" w:hAnsi="仿宋" w:eastAsia="仿宋"/>
          <w:sz w:val="24"/>
          <w:szCs w:val="32"/>
        </w:rPr>
        <w:t>在服务期内，</w:t>
      </w:r>
      <w:r>
        <w:rPr>
          <w:rFonts w:hint="eastAsia" w:ascii="仿宋" w:hAnsi="仿宋" w:eastAsia="仿宋"/>
          <w:sz w:val="24"/>
          <w:szCs w:val="32"/>
        </w:rPr>
        <w:t>非功能性的</w:t>
      </w:r>
      <w:r>
        <w:rPr>
          <w:rFonts w:ascii="仿宋" w:hAnsi="仿宋" w:eastAsia="仿宋"/>
          <w:sz w:val="24"/>
          <w:szCs w:val="32"/>
        </w:rPr>
        <w:t>程序优化、提升均应提供免费升级</w:t>
      </w:r>
      <w:r>
        <w:rPr>
          <w:rFonts w:hint="eastAsia" w:ascii="仿宋" w:hAnsi="仿宋" w:eastAsia="仿宋"/>
          <w:sz w:val="24"/>
          <w:szCs w:val="32"/>
        </w:rPr>
        <w:t>。</w:t>
      </w:r>
    </w:p>
    <w:p w14:paraId="7131FD42">
      <w:pPr>
        <w:pStyle w:val="3"/>
        <w:bidi w:val="0"/>
        <w:rPr>
          <w:rFonts w:hint="eastAsia"/>
          <w:lang w:val="en-US" w:eastAsia="zh-CN"/>
        </w:rPr>
      </w:pPr>
      <w:bookmarkStart w:id="10" w:name="_Toc8915"/>
      <w:r>
        <w:rPr>
          <w:rFonts w:hint="eastAsia"/>
          <w:lang w:val="en-US" w:eastAsia="zh-CN"/>
        </w:rPr>
        <w:t>运维服务需求</w:t>
      </w:r>
      <w:bookmarkEnd w:id="10"/>
    </w:p>
    <w:p w14:paraId="5C872B1D"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实时监控：运维监控工程师</w:t>
      </w:r>
      <w:r>
        <w:rPr>
          <w:rFonts w:ascii="仿宋" w:hAnsi="仿宋" w:eastAsia="仿宋"/>
          <w:sz w:val="24"/>
          <w:szCs w:val="32"/>
        </w:rPr>
        <w:t>7*16</w:t>
      </w:r>
      <w:r>
        <w:rPr>
          <w:rFonts w:hint="eastAsia" w:ascii="仿宋" w:hAnsi="仿宋" w:eastAsia="仿宋"/>
          <w:sz w:val="24"/>
          <w:szCs w:val="32"/>
        </w:rPr>
        <w:t>小时对系统运行大屏进行监控，保证系统异常时第一时间发现问题并及时处理。</w:t>
      </w:r>
    </w:p>
    <w:p w14:paraId="23E84C56"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日常运维：对服务器上日志文件、应用、操作系统等状态做检查，及时发现可疑问题做分析排查。</w:t>
      </w:r>
    </w:p>
    <w:p w14:paraId="596CF0CE"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故障管理：</w:t>
      </w:r>
      <w:r>
        <w:rPr>
          <w:rFonts w:hint="eastAsia" w:ascii="仿宋" w:hAnsi="仿宋" w:eastAsia="仿宋"/>
          <w:sz w:val="24"/>
          <w:szCs w:val="32"/>
          <w:lang w:eastAsia="zh-CN"/>
        </w:rPr>
        <w:t>阿</w:t>
      </w:r>
      <w:r>
        <w:rPr>
          <w:rFonts w:hint="eastAsia" w:ascii="仿宋" w:hAnsi="仿宋" w:eastAsia="仿宋"/>
          <w:sz w:val="24"/>
          <w:szCs w:val="32"/>
        </w:rPr>
        <w:t>系统故障时准确预警，自动发送手机短信邮件等通知。根据故障情况给出准确故障级别，自动分析及提示运维人员排查。</w:t>
      </w:r>
    </w:p>
    <w:p w14:paraId="7DBB8431"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应急预案：明确的故障时流程规范，有效处置突发事件，反应迅速、处置有力，将正在发生或已发生事故的损害程度减轻到最低。</w:t>
      </w:r>
    </w:p>
    <w:p w14:paraId="04510682"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运维制度规范：严格要求运维各岗位人员，明确其职责及异常处理行为规范。</w:t>
      </w:r>
    </w:p>
    <w:p w14:paraId="730C49A2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系统资源优化：不断优化系统各资源配置，监控性能参数，持续性系统调优。</w:t>
      </w:r>
    </w:p>
    <w:p w14:paraId="05657AA9">
      <w:pPr>
        <w:bidi w:val="0"/>
        <w:ind w:left="0" w:leftChars="0" w:firstLine="0" w:firstLineChars="0"/>
        <w:rPr>
          <w:rFonts w:hint="eastAsia"/>
          <w:lang w:eastAsia="zh-CN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pgNumType w:fmt="decimal" w:start="1"/>
      <w:cols w:space="0" w:num="1"/>
      <w:docGrid w:type="lines" w:linePitch="38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SC">
    <w:altName w:val="宋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BBE8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F7D29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F7D29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4DBA2"/>
    <w:multiLevelType w:val="multilevel"/>
    <w:tmpl w:val="0F44DBA2"/>
    <w:lvl w:ilvl="0" w:tentative="0">
      <w:start w:val="1"/>
      <w:numFmt w:val="decimal"/>
      <w:pStyle w:val="2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3C53A30"/>
    <w:multiLevelType w:val="multilevel"/>
    <w:tmpl w:val="33C53A30"/>
    <w:lvl w:ilvl="0" w:tentative="0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38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8D313A"/>
    <w:rsid w:val="0090731C"/>
    <w:rsid w:val="009E7FC9"/>
    <w:rsid w:val="00A85D95"/>
    <w:rsid w:val="00AB1D25"/>
    <w:rsid w:val="00AD3D80"/>
    <w:rsid w:val="00B273EC"/>
    <w:rsid w:val="00B727BA"/>
    <w:rsid w:val="00BE0D57"/>
    <w:rsid w:val="00BE32F3"/>
    <w:rsid w:val="00F50C8B"/>
    <w:rsid w:val="01337D81"/>
    <w:rsid w:val="01687703"/>
    <w:rsid w:val="021F7DC1"/>
    <w:rsid w:val="02300221"/>
    <w:rsid w:val="03DA48E8"/>
    <w:rsid w:val="04673CA2"/>
    <w:rsid w:val="047168CE"/>
    <w:rsid w:val="06B238FA"/>
    <w:rsid w:val="06CC4290"/>
    <w:rsid w:val="06E25862"/>
    <w:rsid w:val="07011CC2"/>
    <w:rsid w:val="07644792"/>
    <w:rsid w:val="08303A92"/>
    <w:rsid w:val="084F4B88"/>
    <w:rsid w:val="08D15B8E"/>
    <w:rsid w:val="09284798"/>
    <w:rsid w:val="098E28D8"/>
    <w:rsid w:val="09B07B5E"/>
    <w:rsid w:val="0A6C0264"/>
    <w:rsid w:val="0C776A4C"/>
    <w:rsid w:val="0C8F3D96"/>
    <w:rsid w:val="0D044784"/>
    <w:rsid w:val="0D270472"/>
    <w:rsid w:val="0DDF2AFB"/>
    <w:rsid w:val="0E7616B1"/>
    <w:rsid w:val="0F24110D"/>
    <w:rsid w:val="0F2B6FD9"/>
    <w:rsid w:val="10CD7582"/>
    <w:rsid w:val="11EC5ABD"/>
    <w:rsid w:val="13645F7C"/>
    <w:rsid w:val="14BC7943"/>
    <w:rsid w:val="14C667C2"/>
    <w:rsid w:val="15453B8B"/>
    <w:rsid w:val="15E038B4"/>
    <w:rsid w:val="16D76A65"/>
    <w:rsid w:val="17AF79E2"/>
    <w:rsid w:val="181F6915"/>
    <w:rsid w:val="183C240D"/>
    <w:rsid w:val="1968609A"/>
    <w:rsid w:val="1A1A55E6"/>
    <w:rsid w:val="1AA11864"/>
    <w:rsid w:val="1AA24D9F"/>
    <w:rsid w:val="1B8F3DB2"/>
    <w:rsid w:val="1C1D316C"/>
    <w:rsid w:val="1C4306F9"/>
    <w:rsid w:val="1CF93CD0"/>
    <w:rsid w:val="1D0B1216"/>
    <w:rsid w:val="1D436C02"/>
    <w:rsid w:val="1D7B3745"/>
    <w:rsid w:val="1E366767"/>
    <w:rsid w:val="1F6A2B6C"/>
    <w:rsid w:val="1F817EB6"/>
    <w:rsid w:val="1F996FAD"/>
    <w:rsid w:val="20D075AF"/>
    <w:rsid w:val="21AA36F4"/>
    <w:rsid w:val="21FE57EE"/>
    <w:rsid w:val="22C75BE0"/>
    <w:rsid w:val="22DD7FD0"/>
    <w:rsid w:val="231450CE"/>
    <w:rsid w:val="23164DB9"/>
    <w:rsid w:val="23750420"/>
    <w:rsid w:val="23D031BA"/>
    <w:rsid w:val="24233B43"/>
    <w:rsid w:val="248D4C07"/>
    <w:rsid w:val="253D7D22"/>
    <w:rsid w:val="25BD32CA"/>
    <w:rsid w:val="26036F9A"/>
    <w:rsid w:val="26064C71"/>
    <w:rsid w:val="26C32B62"/>
    <w:rsid w:val="27826579"/>
    <w:rsid w:val="278A3680"/>
    <w:rsid w:val="27FBD2E2"/>
    <w:rsid w:val="285A4AF6"/>
    <w:rsid w:val="28DA2E89"/>
    <w:rsid w:val="28FC05AD"/>
    <w:rsid w:val="29407953"/>
    <w:rsid w:val="2A4254F9"/>
    <w:rsid w:val="2A8A2314"/>
    <w:rsid w:val="2B6761B2"/>
    <w:rsid w:val="2C426DC6"/>
    <w:rsid w:val="2CA156F3"/>
    <w:rsid w:val="2D1F32F4"/>
    <w:rsid w:val="2DA37249"/>
    <w:rsid w:val="2DC405D2"/>
    <w:rsid w:val="2E4920A8"/>
    <w:rsid w:val="2EE713B8"/>
    <w:rsid w:val="2F5B427F"/>
    <w:rsid w:val="2FEF2C1A"/>
    <w:rsid w:val="30182170"/>
    <w:rsid w:val="31104BF6"/>
    <w:rsid w:val="323B4D81"/>
    <w:rsid w:val="34B70380"/>
    <w:rsid w:val="35441312"/>
    <w:rsid w:val="355C48AD"/>
    <w:rsid w:val="355F614C"/>
    <w:rsid w:val="367125DA"/>
    <w:rsid w:val="36A77DAA"/>
    <w:rsid w:val="37B02C8E"/>
    <w:rsid w:val="383A72A1"/>
    <w:rsid w:val="38ED304A"/>
    <w:rsid w:val="39DF5AAD"/>
    <w:rsid w:val="3A347BA7"/>
    <w:rsid w:val="3AE174A3"/>
    <w:rsid w:val="3B4A34CB"/>
    <w:rsid w:val="3B9528C7"/>
    <w:rsid w:val="3D65451B"/>
    <w:rsid w:val="3E946E66"/>
    <w:rsid w:val="3FE41E03"/>
    <w:rsid w:val="41597EF3"/>
    <w:rsid w:val="41867604"/>
    <w:rsid w:val="43446334"/>
    <w:rsid w:val="43A01E09"/>
    <w:rsid w:val="44A84E71"/>
    <w:rsid w:val="44EB79FC"/>
    <w:rsid w:val="44F248E6"/>
    <w:rsid w:val="4646138E"/>
    <w:rsid w:val="4707219F"/>
    <w:rsid w:val="477DCE1E"/>
    <w:rsid w:val="47C702AC"/>
    <w:rsid w:val="4812529F"/>
    <w:rsid w:val="49555444"/>
    <w:rsid w:val="495B7222"/>
    <w:rsid w:val="499A554C"/>
    <w:rsid w:val="49A95790"/>
    <w:rsid w:val="4A01737A"/>
    <w:rsid w:val="4A995804"/>
    <w:rsid w:val="4AF55130"/>
    <w:rsid w:val="4B3D128F"/>
    <w:rsid w:val="4B4B2FA2"/>
    <w:rsid w:val="4B775B45"/>
    <w:rsid w:val="4C177328"/>
    <w:rsid w:val="4D0E2D62"/>
    <w:rsid w:val="4D7B7211"/>
    <w:rsid w:val="4E9E788D"/>
    <w:rsid w:val="4F4E7B3A"/>
    <w:rsid w:val="50FB2D75"/>
    <w:rsid w:val="510734C7"/>
    <w:rsid w:val="51087240"/>
    <w:rsid w:val="51874608"/>
    <w:rsid w:val="5217598C"/>
    <w:rsid w:val="52552958"/>
    <w:rsid w:val="52C97C12"/>
    <w:rsid w:val="535624E4"/>
    <w:rsid w:val="53B51901"/>
    <w:rsid w:val="53BC2C8F"/>
    <w:rsid w:val="53EE0EEB"/>
    <w:rsid w:val="54C31DFB"/>
    <w:rsid w:val="55E93AE3"/>
    <w:rsid w:val="55ED715E"/>
    <w:rsid w:val="571526B6"/>
    <w:rsid w:val="573E1E21"/>
    <w:rsid w:val="57825F9E"/>
    <w:rsid w:val="57FF1A45"/>
    <w:rsid w:val="58D42829"/>
    <w:rsid w:val="58DC16DE"/>
    <w:rsid w:val="593E5EF4"/>
    <w:rsid w:val="596A6CE9"/>
    <w:rsid w:val="5A6E45B7"/>
    <w:rsid w:val="5A9D30EE"/>
    <w:rsid w:val="5ADC3C17"/>
    <w:rsid w:val="5B487E91"/>
    <w:rsid w:val="5B7B2587"/>
    <w:rsid w:val="5B8D2B5D"/>
    <w:rsid w:val="5BBC1352"/>
    <w:rsid w:val="5CC130C4"/>
    <w:rsid w:val="5CF9550F"/>
    <w:rsid w:val="5DAD53F7"/>
    <w:rsid w:val="5E60690D"/>
    <w:rsid w:val="5EFEBDE8"/>
    <w:rsid w:val="5F0B6879"/>
    <w:rsid w:val="5F0D0843"/>
    <w:rsid w:val="5F6E0BB6"/>
    <w:rsid w:val="5FF27A39"/>
    <w:rsid w:val="60402552"/>
    <w:rsid w:val="60B3541A"/>
    <w:rsid w:val="60D4713E"/>
    <w:rsid w:val="613320B7"/>
    <w:rsid w:val="61880654"/>
    <w:rsid w:val="629923ED"/>
    <w:rsid w:val="62B64D4D"/>
    <w:rsid w:val="62CC27C3"/>
    <w:rsid w:val="62D23CD8"/>
    <w:rsid w:val="65A11CE5"/>
    <w:rsid w:val="66881D51"/>
    <w:rsid w:val="66E005EB"/>
    <w:rsid w:val="66EF4CD2"/>
    <w:rsid w:val="679715F1"/>
    <w:rsid w:val="67C73559"/>
    <w:rsid w:val="689E075E"/>
    <w:rsid w:val="68CA2609"/>
    <w:rsid w:val="68CC1AED"/>
    <w:rsid w:val="69362744"/>
    <w:rsid w:val="69BB0F42"/>
    <w:rsid w:val="69E77EE2"/>
    <w:rsid w:val="6A2922A9"/>
    <w:rsid w:val="6A2C1D99"/>
    <w:rsid w:val="6A637494"/>
    <w:rsid w:val="6AAE6850"/>
    <w:rsid w:val="6AEB57B0"/>
    <w:rsid w:val="6B036F9E"/>
    <w:rsid w:val="6BCF62E6"/>
    <w:rsid w:val="6CD3A16D"/>
    <w:rsid w:val="6D535020"/>
    <w:rsid w:val="6D97577B"/>
    <w:rsid w:val="6E396833"/>
    <w:rsid w:val="6E5024FA"/>
    <w:rsid w:val="6E5F49A6"/>
    <w:rsid w:val="6FFF37D2"/>
    <w:rsid w:val="70DE2EF1"/>
    <w:rsid w:val="713F79CF"/>
    <w:rsid w:val="71AF12E6"/>
    <w:rsid w:val="71B763EC"/>
    <w:rsid w:val="72A93F87"/>
    <w:rsid w:val="72E01973"/>
    <w:rsid w:val="737C169B"/>
    <w:rsid w:val="7434641A"/>
    <w:rsid w:val="74B84955"/>
    <w:rsid w:val="74CA4688"/>
    <w:rsid w:val="75575526"/>
    <w:rsid w:val="76051E1C"/>
    <w:rsid w:val="76191423"/>
    <w:rsid w:val="761A047A"/>
    <w:rsid w:val="76B178AE"/>
    <w:rsid w:val="76B37ACA"/>
    <w:rsid w:val="7B1B3E90"/>
    <w:rsid w:val="7B810197"/>
    <w:rsid w:val="7BF53A86"/>
    <w:rsid w:val="7C3255A3"/>
    <w:rsid w:val="7C5F4108"/>
    <w:rsid w:val="7C63789C"/>
    <w:rsid w:val="7CE27CDF"/>
    <w:rsid w:val="7D307897"/>
    <w:rsid w:val="7EB0669D"/>
    <w:rsid w:val="7EC12DC8"/>
    <w:rsid w:val="7EFD24F6"/>
    <w:rsid w:val="7F79C282"/>
    <w:rsid w:val="7F7B6CAE"/>
    <w:rsid w:val="7FBB354B"/>
    <w:rsid w:val="7FBF6DD0"/>
    <w:rsid w:val="7FCD17FE"/>
    <w:rsid w:val="7FD7E9A0"/>
    <w:rsid w:val="7FE9FBB2"/>
    <w:rsid w:val="7FF75AFE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0" w:firstLineChars="200"/>
      <w:jc w:val="both"/>
    </w:pPr>
    <w:rPr>
      <w:rFonts w:ascii="Arial" w:hAnsi="Arial" w:eastAsia="宋体" w:cs="Arial"/>
      <w:color w:val="333333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ind w:left="575" w:hanging="575" w:firstLineChars="0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ind w:left="720" w:hanging="720" w:firstLineChars="0"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ind w:left="864" w:hanging="864" w:firstLineChars="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line="480" w:lineRule="auto"/>
      <w:ind w:left="1008" w:hanging="1008" w:firstLineChars="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line="480" w:lineRule="auto"/>
      <w:ind w:left="1151" w:hanging="1151" w:firstLineChars="0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line="480" w:lineRule="auto"/>
      <w:ind w:left="1296" w:hanging="1296" w:firstLineChars="0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line="480" w:lineRule="auto"/>
      <w:ind w:left="1440" w:hanging="1440" w:firstLineChars="0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line="480" w:lineRule="auto"/>
      <w:ind w:left="1583" w:hanging="1583" w:firstLineChars="0"/>
      <w:outlineLvl w:val="8"/>
    </w:pPr>
    <w:rPr>
      <w:b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99"/>
    <w:pPr>
      <w:ind w:left="840" w:leftChars="400"/>
    </w:pPr>
  </w:style>
  <w:style w:type="paragraph" w:styleId="12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Subtitle"/>
    <w:basedOn w:val="1"/>
    <w:next w:val="1"/>
    <w:link w:val="28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7">
    <w:name w:val="toc 2"/>
    <w:basedOn w:val="1"/>
    <w:next w:val="1"/>
    <w:qFormat/>
    <w:uiPriority w:val="99"/>
    <w:pPr>
      <w:ind w:left="420" w:leftChars="200"/>
    </w:pPr>
  </w:style>
  <w:style w:type="paragraph" w:styleId="1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Title"/>
    <w:basedOn w:val="1"/>
    <w:next w:val="1"/>
    <w:link w:val="29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20">
    <w:name w:val="Body Text First Indent"/>
    <w:basedOn w:val="1"/>
    <w:next w:val="1"/>
    <w:unhideWhenUsed/>
    <w:qFormat/>
    <w:uiPriority w:val="99"/>
    <w:pPr>
      <w:ind w:firstLine="420" w:firstLineChars="100"/>
    </w:pPr>
  </w:style>
  <w:style w:type="table" w:styleId="22">
    <w:name w:val="Table Grid"/>
    <w:basedOn w:val="21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Hyperlink"/>
    <w:basedOn w:val="23"/>
    <w:qFormat/>
    <w:uiPriority w:val="0"/>
    <w:rPr>
      <w:color w:val="1E6FFF"/>
      <w:u w:val="single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7">
    <w:name w:val="表格样式1"/>
    <w:basedOn w:val="1"/>
    <w:qFormat/>
    <w:uiPriority w:val="0"/>
    <w:pPr>
      <w:spacing w:line="240" w:lineRule="auto"/>
      <w:ind w:firstLine="0" w:firstLineChars="0"/>
      <w:jc w:val="left"/>
    </w:pPr>
    <w:rPr>
      <w:rFonts w:ascii="Noto Sans SC" w:hAnsi="Noto Sans SC" w:cs="Noto Sans SC"/>
      <w:color w:val="000000"/>
      <w:sz w:val="21"/>
      <w:u w:val="none"/>
    </w:rPr>
  </w:style>
  <w:style w:type="character" w:customStyle="1" w:styleId="28">
    <w:name w:val="副标题 字符"/>
    <w:basedOn w:val="23"/>
    <w:link w:val="16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character" w:customStyle="1" w:styleId="29">
    <w:name w:val="标题 字符"/>
    <w:basedOn w:val="23"/>
    <w:link w:val="19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paragraph" w:customStyle="1" w:styleId="30">
    <w:name w:val="表格neibu"/>
    <w:basedOn w:val="1"/>
    <w:autoRedefine/>
    <w:qFormat/>
    <w:uiPriority w:val="0"/>
    <w:pPr>
      <w:widowControl/>
      <w:spacing w:afterLines="0" w:line="240" w:lineRule="auto"/>
      <w:ind w:firstLine="0" w:firstLineChars="0"/>
      <w:contextualSpacing/>
      <w:jc w:val="left"/>
    </w:pPr>
    <w:rPr>
      <w:rFonts w:ascii="仿宋" w:hAnsi="仿宋"/>
      <w:color w:val="000000"/>
      <w:kern w:val="0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133</Characters>
  <TotalTime>0</TotalTime>
  <ScaleCrop>false</ScaleCrop>
  <LinksUpToDate>false</LinksUpToDate>
  <CharactersWithSpaces>173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2025-05-26T16:35:00Z</dcterms:created>
  <dc:creator>86180</dc:creator>
  <cp:lastModifiedBy>Crooked.</cp:lastModifiedBy>
  <dcterms:modified xsi:type="dcterms:W3CDTF">2025-08-05T01:16:14Z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eyJoZGlkIjoiYzdkNzdhZGQyYjk1YzQ5NDk0MjQzNzNlYzZkMDZlYzMifQ==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F51D7AC5007641FCA656922402A09B78_13</vt:lpwstr>
  </property>
</Properties>
</file>