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97" w:type="pct"/>
        <w:tblInd w:w="0" w:type="dxa"/>
        <w:tblLayout w:type="autofit"/>
        <w:tblCellMar>
          <w:top w:w="0" w:type="dxa"/>
          <w:left w:w="108" w:type="dxa"/>
          <w:bottom w:w="0" w:type="dxa"/>
          <w:right w:w="108" w:type="dxa"/>
        </w:tblCellMar>
      </w:tblPr>
      <w:tblGrid>
        <w:gridCol w:w="459"/>
        <w:gridCol w:w="2376"/>
        <w:gridCol w:w="3771"/>
        <w:gridCol w:w="2245"/>
      </w:tblGrid>
      <w:tr w14:paraId="3ED6AFBB">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9E5B95A">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21</w:t>
            </w:r>
            <w:r>
              <w:rPr>
                <w:rFonts w:hint="eastAsia" w:eastAsia="宋体"/>
                <w:b/>
                <w:color w:val="000000"/>
                <w:sz w:val="30"/>
                <w:szCs w:val="30"/>
              </w:rPr>
              <w:t>期医用耗材</w:t>
            </w:r>
          </w:p>
        </w:tc>
      </w:tr>
      <w:tr w14:paraId="0B909D70">
        <w:tblPrEx>
          <w:tblCellMar>
            <w:top w:w="0" w:type="dxa"/>
            <w:left w:w="108" w:type="dxa"/>
            <w:bottom w:w="0" w:type="dxa"/>
            <w:right w:w="108" w:type="dxa"/>
          </w:tblCellMar>
        </w:tblPrEx>
        <w:trPr>
          <w:trHeight w:val="353"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4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13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66" w:type="pct"/>
            <w:tcBorders>
              <w:top w:val="single" w:color="auto" w:sz="4" w:space="0"/>
              <w:left w:val="nil"/>
              <w:bottom w:val="single" w:color="auto" w:sz="4" w:space="0"/>
              <w:right w:val="single" w:color="auto" w:sz="4" w:space="0"/>
            </w:tcBorders>
            <w:shd w:val="clear" w:color="auto" w:fill="auto"/>
            <w:vAlign w:val="center"/>
          </w:tcPr>
          <w:p w14:paraId="3907CC73">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6C0A74F2">
        <w:tblPrEx>
          <w:tblCellMar>
            <w:top w:w="0" w:type="dxa"/>
            <w:left w:w="108" w:type="dxa"/>
            <w:bottom w:w="0" w:type="dxa"/>
            <w:right w:w="108" w:type="dxa"/>
          </w:tblCellMar>
        </w:tblPrEx>
        <w:trPr>
          <w:trHeight w:val="28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42"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74</w:t>
            </w:r>
          </w:p>
        </w:tc>
        <w:tc>
          <w:tcPr>
            <w:tcW w:w="2130"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0"/>
                <w:szCs w:val="20"/>
                <w:u w:val="none"/>
                <w:lang w:val="en-US" w:eastAsia="zh-CN" w:bidi="ar"/>
              </w:rPr>
              <w:t>口腔用胶原蛋白海绵</w:t>
            </w:r>
          </w:p>
        </w:tc>
        <w:tc>
          <w:tcPr>
            <w:tcW w:w="1266" w:type="pct"/>
            <w:tcBorders>
              <w:top w:val="single" w:color="auto" w:sz="4" w:space="0"/>
              <w:left w:val="nil"/>
              <w:bottom w:val="single" w:color="auto" w:sz="4" w:space="0"/>
              <w:right w:val="single" w:color="auto" w:sz="4" w:space="0"/>
            </w:tcBorders>
            <w:shd w:val="clear" w:color="auto" w:fill="auto"/>
            <w:vAlign w:val="center"/>
          </w:tcPr>
          <w:p w14:paraId="73EA157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43E2CDC">
        <w:tblPrEx>
          <w:tblCellMar>
            <w:top w:w="0" w:type="dxa"/>
            <w:left w:w="108" w:type="dxa"/>
            <w:bottom w:w="0" w:type="dxa"/>
            <w:right w:w="108" w:type="dxa"/>
          </w:tblCellMar>
        </w:tblPrEx>
        <w:trPr>
          <w:trHeight w:val="415"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42"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75</w:t>
            </w:r>
          </w:p>
        </w:tc>
        <w:tc>
          <w:tcPr>
            <w:tcW w:w="2130"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sz w:val="20"/>
                <w:szCs w:val="20"/>
                <w:u w:val="none"/>
              </w:rPr>
              <w:t>硅胶眼科植入物</w:t>
            </w:r>
          </w:p>
        </w:tc>
        <w:tc>
          <w:tcPr>
            <w:tcW w:w="1266" w:type="pct"/>
            <w:tcBorders>
              <w:top w:val="single" w:color="auto" w:sz="4" w:space="0"/>
              <w:left w:val="nil"/>
              <w:bottom w:val="single" w:color="auto" w:sz="4" w:space="0"/>
              <w:right w:val="single" w:color="auto" w:sz="4" w:space="0"/>
            </w:tcBorders>
            <w:shd w:val="clear" w:color="auto" w:fill="auto"/>
            <w:vAlign w:val="center"/>
          </w:tcPr>
          <w:p w14:paraId="6C436A1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否</w:t>
            </w:r>
          </w:p>
        </w:tc>
      </w:tr>
      <w:tr w14:paraId="2467B2C8">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42"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76</w:t>
            </w:r>
          </w:p>
        </w:tc>
        <w:tc>
          <w:tcPr>
            <w:tcW w:w="2130"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0"/>
                <w:szCs w:val="20"/>
                <w:u w:val="none"/>
                <w:lang w:val="en-US" w:eastAsia="zh-CN" w:bidi="ar"/>
              </w:rPr>
              <w:t>引流袋（排泄物管理系统套件）</w:t>
            </w:r>
          </w:p>
        </w:tc>
        <w:tc>
          <w:tcPr>
            <w:tcW w:w="1266" w:type="pct"/>
            <w:tcBorders>
              <w:top w:val="single" w:color="auto" w:sz="4" w:space="0"/>
              <w:left w:val="nil"/>
              <w:bottom w:val="single" w:color="auto" w:sz="4" w:space="0"/>
              <w:right w:val="single" w:color="auto" w:sz="4" w:space="0"/>
            </w:tcBorders>
            <w:shd w:val="clear" w:color="auto" w:fill="auto"/>
            <w:vAlign w:val="center"/>
          </w:tcPr>
          <w:p w14:paraId="2D88CE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2EFDB1C">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42"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77</w:t>
            </w:r>
          </w:p>
        </w:tc>
        <w:tc>
          <w:tcPr>
            <w:tcW w:w="2130" w:type="pct"/>
            <w:tcBorders>
              <w:top w:val="single" w:color="auto" w:sz="4" w:space="0"/>
              <w:left w:val="nil"/>
              <w:bottom w:val="single" w:color="auto" w:sz="4" w:space="0"/>
              <w:right w:val="single" w:color="auto" w:sz="4" w:space="0"/>
            </w:tcBorders>
            <w:shd w:val="clear" w:color="auto" w:fill="auto"/>
            <w:vAlign w:val="center"/>
          </w:tcPr>
          <w:p w14:paraId="708458F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鼻咽通气异型导管（一次性使用）</w:t>
            </w:r>
          </w:p>
        </w:tc>
        <w:tc>
          <w:tcPr>
            <w:tcW w:w="1266" w:type="pct"/>
            <w:tcBorders>
              <w:top w:val="single" w:color="auto" w:sz="4" w:space="0"/>
              <w:left w:val="nil"/>
              <w:bottom w:val="single" w:color="auto" w:sz="4" w:space="0"/>
              <w:right w:val="single" w:color="auto" w:sz="4" w:space="0"/>
            </w:tcBorders>
            <w:shd w:val="clear" w:color="auto" w:fill="auto"/>
            <w:vAlign w:val="center"/>
          </w:tcPr>
          <w:p w14:paraId="46C1D0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2F5C2A6">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42"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78</w:t>
            </w:r>
          </w:p>
        </w:tc>
        <w:tc>
          <w:tcPr>
            <w:tcW w:w="2130"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一次性使用子宫支架</w:t>
            </w:r>
          </w:p>
        </w:tc>
        <w:tc>
          <w:tcPr>
            <w:tcW w:w="1266" w:type="pct"/>
            <w:tcBorders>
              <w:top w:val="single" w:color="auto" w:sz="4" w:space="0"/>
              <w:left w:val="nil"/>
              <w:bottom w:val="single" w:color="auto" w:sz="4" w:space="0"/>
              <w:right w:val="single" w:color="auto" w:sz="4" w:space="0"/>
            </w:tcBorders>
            <w:shd w:val="clear" w:color="auto" w:fill="auto"/>
            <w:vAlign w:val="center"/>
          </w:tcPr>
          <w:p w14:paraId="5644FA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AAEC43F">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48403A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42" w:type="pct"/>
            <w:tcBorders>
              <w:top w:val="single" w:color="auto" w:sz="4" w:space="0"/>
              <w:left w:val="nil"/>
              <w:bottom w:val="single" w:color="auto" w:sz="4" w:space="0"/>
              <w:right w:val="single" w:color="auto" w:sz="4" w:space="0"/>
            </w:tcBorders>
            <w:shd w:val="clear" w:color="auto" w:fill="auto"/>
            <w:vAlign w:val="center"/>
          </w:tcPr>
          <w:p w14:paraId="5700919F">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79</w:t>
            </w:r>
          </w:p>
        </w:tc>
        <w:tc>
          <w:tcPr>
            <w:tcW w:w="2130" w:type="pct"/>
            <w:tcBorders>
              <w:top w:val="single" w:color="auto" w:sz="4" w:space="0"/>
              <w:left w:val="nil"/>
              <w:bottom w:val="single" w:color="auto" w:sz="4" w:space="0"/>
              <w:right w:val="single" w:color="auto" w:sz="4" w:space="0"/>
            </w:tcBorders>
            <w:shd w:val="clear" w:color="auto" w:fill="auto"/>
            <w:vAlign w:val="center"/>
          </w:tcPr>
          <w:p w14:paraId="3BC3BD8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一次性使用活检钳</w:t>
            </w:r>
          </w:p>
        </w:tc>
        <w:tc>
          <w:tcPr>
            <w:tcW w:w="1266" w:type="pct"/>
            <w:tcBorders>
              <w:top w:val="single" w:color="auto" w:sz="4" w:space="0"/>
              <w:left w:val="nil"/>
              <w:bottom w:val="single" w:color="auto" w:sz="4" w:space="0"/>
              <w:right w:val="single" w:color="auto" w:sz="4" w:space="0"/>
            </w:tcBorders>
            <w:shd w:val="clear" w:color="auto" w:fill="auto"/>
            <w:vAlign w:val="center"/>
          </w:tcPr>
          <w:p w14:paraId="047F21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4C83F50">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4B8B0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42" w:type="pct"/>
            <w:tcBorders>
              <w:top w:val="single" w:color="auto" w:sz="4" w:space="0"/>
              <w:left w:val="nil"/>
              <w:bottom w:val="single" w:color="auto" w:sz="4" w:space="0"/>
              <w:right w:val="single" w:color="auto" w:sz="4" w:space="0"/>
            </w:tcBorders>
            <w:shd w:val="clear" w:color="auto" w:fill="auto"/>
            <w:vAlign w:val="center"/>
          </w:tcPr>
          <w:p w14:paraId="24F95C9C">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80</w:t>
            </w:r>
          </w:p>
        </w:tc>
        <w:tc>
          <w:tcPr>
            <w:tcW w:w="2130" w:type="pct"/>
            <w:tcBorders>
              <w:top w:val="single" w:color="auto" w:sz="4" w:space="0"/>
              <w:left w:val="nil"/>
              <w:bottom w:val="single" w:color="auto" w:sz="4" w:space="0"/>
              <w:right w:val="single" w:color="auto" w:sz="4" w:space="0"/>
            </w:tcBorders>
            <w:shd w:val="clear" w:color="auto" w:fill="auto"/>
            <w:vAlign w:val="center"/>
          </w:tcPr>
          <w:p w14:paraId="3718829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0"/>
                <w:szCs w:val="20"/>
                <w:u w:val="none"/>
                <w:lang w:val="en-US" w:eastAsia="zh-CN" w:bidi="ar"/>
              </w:rPr>
              <w:t>一次性使用多通道腹腔镜手术单孔穿刺器(软器械鞘管)</w:t>
            </w:r>
          </w:p>
        </w:tc>
        <w:tc>
          <w:tcPr>
            <w:tcW w:w="1266" w:type="pct"/>
            <w:tcBorders>
              <w:top w:val="single" w:color="auto" w:sz="4" w:space="0"/>
              <w:left w:val="nil"/>
              <w:bottom w:val="single" w:color="auto" w:sz="4" w:space="0"/>
              <w:right w:val="single" w:color="auto" w:sz="4" w:space="0"/>
            </w:tcBorders>
            <w:shd w:val="clear" w:color="auto" w:fill="auto"/>
            <w:vAlign w:val="center"/>
          </w:tcPr>
          <w:p w14:paraId="1E56D1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D33E89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bookmarkStart w:id="29" w:name="_GoBack"/>
      <w:r>
        <w:rPr>
          <w:rFonts w:hint="eastAsia" w:ascii="方正小标宋简体" w:hAnsi="方正小标宋简体" w:eastAsia="方正小标宋简体" w:cs="方正小标宋简体"/>
          <w:bCs w:val="0"/>
          <w:sz w:val="44"/>
          <w:szCs w:val="44"/>
        </w:rPr>
        <w:t>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21</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21</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02</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w:t>
      </w:r>
      <w:r>
        <w:rPr>
          <w:rFonts w:hint="eastAsia"/>
          <w:color w:val="000000"/>
          <w:szCs w:val="21"/>
          <w:lang w:eastAsia="zh-CN"/>
        </w:rPr>
        <w:t>，</w:t>
      </w:r>
      <w:r>
        <w:rPr>
          <w:rFonts w:hint="eastAsia"/>
          <w:color w:val="000000"/>
          <w:szCs w:val="21"/>
          <w:lang w:val="en-US" w:eastAsia="zh-CN"/>
        </w:rPr>
        <w:t>工程师电话14776040940</w:t>
      </w:r>
      <w:r>
        <w:rPr>
          <w:rFonts w:hint="eastAsia"/>
          <w:color w:val="000000"/>
          <w:szCs w:val="21"/>
        </w:rPr>
        <w:t>，只有通过资格审核的投标人方可准备投标资料参加投标。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rPr>
      </w:pPr>
      <w:r>
        <w:rPr>
          <w:rFonts w:hint="eastAsia" w:ascii="Tahoma" w:hAnsi="Tahoma" w:cs="宋体"/>
          <w:kern w:val="0"/>
          <w:szCs w:val="21"/>
        </w:rPr>
        <w:t>报名时间：</w:t>
      </w:r>
      <w:r>
        <w:rPr>
          <w:rFonts w:hint="eastAsia" w:ascii="Tahoma" w:hAnsi="Tahoma" w:eastAsia="宋体" w:cs="宋体"/>
          <w:kern w:val="0"/>
          <w:szCs w:val="21"/>
          <w:highlight w:val="yellow"/>
        </w:rPr>
        <w:t>自公告发布之日起至</w:t>
      </w:r>
      <w:r>
        <w:rPr>
          <w:rFonts w:hint="eastAsia" w:ascii="Tahoma" w:hAnsi="Tahoma" w:eastAsia="宋体" w:cs="宋体"/>
          <w:kern w:val="0"/>
          <w:szCs w:val="21"/>
          <w:highlight w:val="yellow"/>
          <w:lang w:val="en-US" w:eastAsia="zh-CN"/>
        </w:rPr>
        <w:t>5</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22</w:t>
      </w:r>
      <w:r>
        <w:rPr>
          <w:rFonts w:hint="eastAsia" w:ascii="Tahoma" w:hAnsi="Tahoma" w:eastAsia="宋体" w:cs="宋体"/>
          <w:kern w:val="0"/>
          <w:szCs w:val="21"/>
          <w:highlight w:val="yellow"/>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5132FF73">
      <w:pPr>
        <w:adjustRightInd w:val="0"/>
        <w:snapToGrid w:val="0"/>
        <w:spacing w:line="440" w:lineRule="atLeast"/>
        <w:ind w:firstLine="420" w:firstLineChars="200"/>
        <w:rPr>
          <w:b/>
          <w:color w:val="000000"/>
          <w:szCs w:val="21"/>
        </w:rPr>
      </w:pPr>
      <w:r>
        <w:rPr>
          <w:rFonts w:hint="eastAsia"/>
          <w:color w:val="000000"/>
          <w:szCs w:val="21"/>
        </w:rPr>
        <w:t>以上所有报名资料盖公章扫描成一份完整版PDF文件，接到采购人通知资格审查通过的通知后，将纸质资料装订（一正一副）提交至行政楼3</w:t>
      </w:r>
      <w:r>
        <w:rPr>
          <w:rFonts w:hint="eastAsia"/>
          <w:color w:val="000000"/>
          <w:szCs w:val="21"/>
          <w:lang w:val="en-US" w:eastAsia="zh-CN"/>
        </w:rPr>
        <w:t>0</w:t>
      </w:r>
      <w:r>
        <w:rPr>
          <w:rFonts w:hint="eastAsia"/>
          <w:color w:val="000000"/>
          <w:szCs w:val="21"/>
        </w:rPr>
        <w:t>2，装订的文件应当与经审查通过的电子版保持一致。其中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》单独提供一份可编辑格式为Excel的电子版和纸质版。</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5</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29</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14</w:t>
      </w:r>
      <w:r>
        <w:rPr>
          <w:rFonts w:hint="eastAsia" w:ascii="宋体" w:hAnsi="宋体" w:eastAsia="宋体" w:cs="宋体"/>
          <w:b/>
          <w:bCs/>
          <w:color w:val="000000"/>
          <w:sz w:val="20"/>
          <w:szCs w:val="20"/>
          <w:highlight w:val="yellow"/>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5</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16</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5</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22</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976"/>
        <w:gridCol w:w="1333"/>
        <w:gridCol w:w="3596"/>
        <w:gridCol w:w="917"/>
        <w:gridCol w:w="647"/>
        <w:gridCol w:w="867"/>
        <w:gridCol w:w="885"/>
      </w:tblGrid>
      <w:tr w14:paraId="2C41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3" w:type="pct"/>
            <w:vAlign w:val="center"/>
          </w:tcPr>
          <w:p w14:paraId="6F48041B">
            <w:pPr>
              <w:jc w:val="center"/>
            </w:pPr>
            <w:r>
              <w:rPr>
                <w:rFonts w:hint="eastAsia"/>
              </w:rPr>
              <w:t>序号</w:t>
            </w:r>
          </w:p>
        </w:tc>
        <w:tc>
          <w:tcPr>
            <w:tcW w:w="925" w:type="pct"/>
            <w:vAlign w:val="center"/>
          </w:tcPr>
          <w:p w14:paraId="3FF24979">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24" w:type="pct"/>
            <w:vAlign w:val="center"/>
          </w:tcPr>
          <w:p w14:paraId="2C348B33">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83" w:type="pct"/>
            <w:vAlign w:val="center"/>
          </w:tcPr>
          <w:p w14:paraId="335F490B">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29" w:type="pct"/>
            <w:vAlign w:val="center"/>
          </w:tcPr>
          <w:p w14:paraId="01214EFD">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7DDA1262">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06" w:type="pct"/>
          </w:tcPr>
          <w:p w14:paraId="594E3400">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4" w:type="pct"/>
            <w:shd w:val="clear" w:color="auto" w:fill="auto"/>
            <w:vAlign w:val="center"/>
          </w:tcPr>
          <w:p w14:paraId="01F38F22">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B33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3" w:type="pct"/>
            <w:shd w:val="clear" w:color="000000" w:fill="FFFFFF"/>
            <w:vAlign w:val="center"/>
          </w:tcPr>
          <w:p w14:paraId="1F87CD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59BA8D68">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74</w:t>
            </w:r>
          </w:p>
        </w:tc>
        <w:tc>
          <w:tcPr>
            <w:tcW w:w="624" w:type="pct"/>
            <w:vAlign w:val="center"/>
          </w:tcPr>
          <w:p w14:paraId="008B5C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口腔用胶原蛋白海绵</w:t>
            </w:r>
          </w:p>
        </w:tc>
        <w:tc>
          <w:tcPr>
            <w:tcW w:w="1683" w:type="pct"/>
            <w:vAlign w:val="center"/>
          </w:tcPr>
          <w:p w14:paraId="1881C6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1.材质为胶原蛋白，呈白色多孔状固体海绵。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2.多种规格：圆台形、圆柱形、小方块、片状挑选，均为一次性使用。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3.规格尺寸：直径8±2 mm，高度15 ±3mm，宽度12 ±5mm，独立包装。</w:t>
            </w:r>
          </w:p>
          <w:p w14:paraId="50C54F49">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4.用于口腔拔牙窝填充止血，软组织恢复，防止异物掉入。</w:t>
            </w:r>
          </w:p>
        </w:tc>
        <w:tc>
          <w:tcPr>
            <w:tcW w:w="429" w:type="pct"/>
            <w:vAlign w:val="center"/>
          </w:tcPr>
          <w:p w14:paraId="558B4851">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00C351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口腔科</w:t>
            </w:r>
          </w:p>
        </w:tc>
        <w:tc>
          <w:tcPr>
            <w:tcW w:w="406" w:type="pct"/>
            <w:vAlign w:val="center"/>
          </w:tcPr>
          <w:p w14:paraId="7A77A23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6E5A43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4B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213" w:type="pct"/>
            <w:shd w:val="clear" w:color="000000" w:fill="FFFFFF"/>
            <w:vAlign w:val="center"/>
          </w:tcPr>
          <w:p w14:paraId="552CC9B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1192897D">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75</w:t>
            </w:r>
          </w:p>
        </w:tc>
        <w:tc>
          <w:tcPr>
            <w:tcW w:w="624" w:type="pct"/>
            <w:vAlign w:val="center"/>
          </w:tcPr>
          <w:p w14:paraId="7A943A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rPr>
              <w:t>硅胶眼科植入物</w:t>
            </w:r>
          </w:p>
        </w:tc>
        <w:tc>
          <w:tcPr>
            <w:tcW w:w="1683" w:type="pct"/>
            <w:vAlign w:val="center"/>
          </w:tcPr>
          <w:p w14:paraId="2C07E36B">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用于视网膜脱离复位手术的环扎和外垫压手术的辅助治疗。</w:t>
            </w:r>
          </w:p>
          <w:p w14:paraId="02472AF2">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含实体视网膜脱离植入物与海绵体视网膜脱离植入物两种。</w:t>
            </w:r>
          </w:p>
          <w:p w14:paraId="1041BE37">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实体的视网膜脱离植入物，拉伸强度≥6.0MPa,扯断伸长率≥500%，扯断永久变形≤15%，硬度（邵尔A）30-75</w:t>
            </w:r>
            <w:r>
              <w:rPr>
                <w:rFonts w:hint="eastAsia" w:asciiTheme="minorEastAsia" w:hAnsiTheme="minorEastAsia" w:cstheme="minorEastAsia"/>
                <w:sz w:val="20"/>
                <w:szCs w:val="20"/>
                <w:lang w:eastAsia="zh-CN"/>
              </w:rPr>
              <w:t>。</w:t>
            </w:r>
          </w:p>
          <w:p w14:paraId="010A1E68">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海绵体的视网膜脱离植入物，拉伸强度≥0.3MPa，扯断伸长率≥200%，扯断永久变形≤15%。</w:t>
            </w:r>
          </w:p>
        </w:tc>
        <w:tc>
          <w:tcPr>
            <w:tcW w:w="429" w:type="pct"/>
            <w:vAlign w:val="center"/>
          </w:tcPr>
          <w:p w14:paraId="5859FCDF">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F150ECB">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眼科</w:t>
            </w:r>
          </w:p>
        </w:tc>
        <w:tc>
          <w:tcPr>
            <w:tcW w:w="406" w:type="pct"/>
            <w:vAlign w:val="center"/>
          </w:tcPr>
          <w:p w14:paraId="594B7A7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0BA9F6B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sz w:val="20"/>
                <w:szCs w:val="20"/>
                <w:u w:val="none"/>
                <w:lang w:val="en-US" w:eastAsia="zh-CN"/>
              </w:rPr>
              <w:t>否</w:t>
            </w:r>
          </w:p>
        </w:tc>
      </w:tr>
      <w:tr w14:paraId="6EB4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3" w:type="pct"/>
            <w:shd w:val="clear" w:color="000000" w:fill="FFFFFF"/>
            <w:vAlign w:val="center"/>
          </w:tcPr>
          <w:p w14:paraId="3BF01F4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0FB7C52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76</w:t>
            </w:r>
          </w:p>
        </w:tc>
        <w:tc>
          <w:tcPr>
            <w:tcW w:w="624" w:type="pct"/>
            <w:vAlign w:val="center"/>
          </w:tcPr>
          <w:p w14:paraId="70A28970">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引流袋（排泄物管理系统套件）</w:t>
            </w:r>
          </w:p>
        </w:tc>
        <w:tc>
          <w:tcPr>
            <w:tcW w:w="1683" w:type="pct"/>
            <w:vAlign w:val="center"/>
          </w:tcPr>
          <w:p w14:paraId="64B49629">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1.排泄物引流装置套件由低压双球囊、引流管、扎带、球囊充起器及收集袋组成，用于排出物为液体或半液体的大便失禁管理。</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2.前端聚氨酯双球囊波纹管设计，须符合肛门直肠解剖结构，充气后能有效固定，减少对直肠粘膜的压迫。</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3.管径配有冲洗腔，保证有效引流的同时，可进行管腔冲洗，防止粪便堵塞。</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4.引流袋须有抗返流功能，活性炭排气孔，减少逆行感染和气味污染。</w:t>
            </w:r>
          </w:p>
        </w:tc>
        <w:tc>
          <w:tcPr>
            <w:tcW w:w="429" w:type="pct"/>
            <w:vAlign w:val="center"/>
          </w:tcPr>
          <w:p w14:paraId="249A187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F9E50C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重症医学科</w:t>
            </w:r>
          </w:p>
        </w:tc>
        <w:tc>
          <w:tcPr>
            <w:tcW w:w="406" w:type="pct"/>
            <w:vAlign w:val="center"/>
          </w:tcPr>
          <w:p w14:paraId="24C86EF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1B0B5D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964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24811D4B">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04202B8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77</w:t>
            </w:r>
          </w:p>
        </w:tc>
        <w:tc>
          <w:tcPr>
            <w:tcW w:w="624" w:type="pct"/>
            <w:vAlign w:val="center"/>
          </w:tcPr>
          <w:p w14:paraId="73B0FED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鼻咽通气异型导管（一次性使用）</w:t>
            </w:r>
          </w:p>
        </w:tc>
        <w:tc>
          <w:tcPr>
            <w:tcW w:w="1683" w:type="pct"/>
            <w:vAlign w:val="center"/>
          </w:tcPr>
          <w:p w14:paraId="765862A7">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1.具备呼气末二氧化碳分压监测功能。通过对咽部二氧化碳持续采样，及时评估通气情况，确保患者通气安全。</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▲2.前端弧形微创软头设计。</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3.硅胶材料，外壁超滑涂层。</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4.深度调节环。通过预设深度调节环，满足控制插入深度要求。</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▲5.双氧源接头，可以直接连接多种氧源且不影响呼末二氧化碳监测。</w:t>
            </w:r>
          </w:p>
        </w:tc>
        <w:tc>
          <w:tcPr>
            <w:tcW w:w="429" w:type="pct"/>
            <w:vAlign w:val="center"/>
          </w:tcPr>
          <w:p w14:paraId="194717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A027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麻醉科</w:t>
            </w:r>
          </w:p>
        </w:tc>
        <w:tc>
          <w:tcPr>
            <w:tcW w:w="406" w:type="pct"/>
            <w:vAlign w:val="center"/>
          </w:tcPr>
          <w:p w14:paraId="57B89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00F006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47A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5AC9AA8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023B1893">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78</w:t>
            </w:r>
          </w:p>
        </w:tc>
        <w:tc>
          <w:tcPr>
            <w:tcW w:w="624" w:type="pct"/>
            <w:vAlign w:val="center"/>
          </w:tcPr>
          <w:p w14:paraId="396DB70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一次性使用子宫支架</w:t>
            </w:r>
          </w:p>
        </w:tc>
        <w:tc>
          <w:tcPr>
            <w:tcW w:w="1683" w:type="pct"/>
            <w:vAlign w:val="center"/>
          </w:tcPr>
          <w:p w14:paraId="5F19D1ED">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产品表面光滑、材质柔软，厚度在0.1-0.5mm，避免对子宫内膜形成压迫。</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支架尾部可调节修剪；</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 xml:space="preserve"> 可根据宫腔形态和长度选择不同的规格；</w:t>
            </w:r>
          </w:p>
        </w:tc>
        <w:tc>
          <w:tcPr>
            <w:tcW w:w="429" w:type="pct"/>
            <w:vAlign w:val="center"/>
          </w:tcPr>
          <w:p w14:paraId="0C7E926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0F305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7F342E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699B82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E5C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61364C8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6</w:t>
            </w:r>
          </w:p>
        </w:tc>
        <w:tc>
          <w:tcPr>
            <w:tcW w:w="925" w:type="pct"/>
            <w:shd w:val="clear" w:color="000000" w:fill="FFFFFF"/>
            <w:noWrap/>
            <w:vAlign w:val="center"/>
          </w:tcPr>
          <w:p w14:paraId="110EFCA6">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79</w:t>
            </w:r>
          </w:p>
        </w:tc>
        <w:tc>
          <w:tcPr>
            <w:tcW w:w="624" w:type="pct"/>
            <w:vAlign w:val="center"/>
          </w:tcPr>
          <w:p w14:paraId="7017392F">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一次性使用活检钳</w:t>
            </w:r>
          </w:p>
        </w:tc>
        <w:tc>
          <w:tcPr>
            <w:tcW w:w="1683" w:type="pct"/>
            <w:vAlign w:val="center"/>
          </w:tcPr>
          <w:p w14:paraId="2FDA1546">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 xml:space="preserve">1.主要用于宫腔镜下取异物或组织取样。      </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 xml:space="preserve">2.活检钳外径1.2-2.5mm，可适用于5fr和7fr的器械通道；                               </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3.活检钳工作长度400-410mm。</w:t>
            </w:r>
          </w:p>
        </w:tc>
        <w:tc>
          <w:tcPr>
            <w:tcW w:w="429" w:type="pct"/>
            <w:vAlign w:val="center"/>
          </w:tcPr>
          <w:p w14:paraId="18822E4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1E7E91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1A83F8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3001F7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006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30DEBA6B">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7</w:t>
            </w:r>
          </w:p>
        </w:tc>
        <w:tc>
          <w:tcPr>
            <w:tcW w:w="925" w:type="pct"/>
            <w:shd w:val="clear" w:color="000000" w:fill="FFFFFF"/>
            <w:noWrap/>
            <w:vAlign w:val="center"/>
          </w:tcPr>
          <w:p w14:paraId="20FDAAED">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80</w:t>
            </w:r>
          </w:p>
        </w:tc>
        <w:tc>
          <w:tcPr>
            <w:tcW w:w="624" w:type="pct"/>
            <w:vAlign w:val="center"/>
          </w:tcPr>
          <w:p w14:paraId="7ED3A4B0">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一次性使用多通道腹腔镜手术单孔穿刺器(软器械鞘管)</w:t>
            </w:r>
          </w:p>
        </w:tc>
        <w:tc>
          <w:tcPr>
            <w:tcW w:w="1683" w:type="pct"/>
            <w:vAlign w:val="center"/>
          </w:tcPr>
          <w:p w14:paraId="7DEEF15C">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密封体B变高保护器、密封体和外径需70mm-90mm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密封体需求要四支建立工作通道的鞘管，需求分别为两支Φ5的鞘管，一支Φ10和一支Φ12的鞘管</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通道高度需：90mm-170mm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带保护形鞘管针的穿刺刀切削刃面的表面粗糙度Ra值应不大于 0.8μm;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产品应无菌，环氧乙残留应不大于10μg/g;一次性使用。</w:t>
            </w:r>
          </w:p>
        </w:tc>
        <w:tc>
          <w:tcPr>
            <w:tcW w:w="429" w:type="pct"/>
            <w:vAlign w:val="center"/>
          </w:tcPr>
          <w:p w14:paraId="72C2680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5FA2D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019E02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6DEBA5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6386B0E7">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p>
    <w:bookmarkEnd w:id="29"/>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根据我院2024年院办通1192号</w:t>
      </w:r>
      <w:r>
        <w:rPr>
          <w:rFonts w:hint="eastAsia" w:ascii="宋体" w:hAnsi="宋体" w:eastAsia="宋体" w:cs="宋体"/>
          <w:color w:val="000000" w:themeColor="text1"/>
          <w:kern w:val="0"/>
          <w:sz w:val="24"/>
          <w:lang w:val="en-US" w:eastAsia="zh-CN"/>
          <w14:textFill>
            <w14:solidFill>
              <w14:schemeClr w14:val="tx1"/>
            </w14:solidFill>
          </w14:textFill>
        </w:rPr>
        <w:t>决议及2025年院办通7号决议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w:t>
      </w:r>
      <w:r>
        <w:rPr>
          <w:rFonts w:hint="eastAsia" w:ascii="宋体" w:hAnsi="宋体" w:eastAsia="宋体" w:cs="宋体"/>
          <w:color w:val="000000" w:themeColor="text1"/>
          <w:kern w:val="0"/>
          <w:sz w:val="24"/>
          <w14:textFill>
            <w14:solidFill>
              <w14:schemeClr w14:val="tx1"/>
            </w14:solidFill>
          </w14:textFill>
        </w:rPr>
        <w:t>逾期未完成医用耗材项目合同签订</w:t>
      </w:r>
      <w:r>
        <w:rPr>
          <w:rFonts w:hint="eastAsia" w:ascii="宋体" w:hAnsi="宋体" w:eastAsia="宋体" w:cs="宋体"/>
          <w:color w:val="000000" w:themeColor="text1"/>
          <w:kern w:val="0"/>
          <w:sz w:val="24"/>
          <w:lang w:val="en-US" w:eastAsia="zh-CN"/>
          <w14:textFill>
            <w14:solidFill>
              <w14:schemeClr w14:val="tx1"/>
            </w14:solidFill>
          </w14:textFill>
        </w:rPr>
        <w:t>和新准入项目</w:t>
      </w:r>
      <w:r>
        <w:rPr>
          <w:rFonts w:hint="eastAsia" w:ascii="宋体" w:hAnsi="宋体" w:eastAsia="宋体" w:cs="宋体"/>
          <w:color w:val="000000" w:themeColor="text1"/>
          <w:kern w:val="0"/>
          <w:sz w:val="24"/>
          <w14:textFill>
            <w14:solidFill>
              <w14:schemeClr w14:val="tx1"/>
            </w14:solidFill>
          </w14:textFill>
        </w:rPr>
        <w:t>进行重新招采。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976"/>
        <w:gridCol w:w="1333"/>
        <w:gridCol w:w="3596"/>
        <w:gridCol w:w="917"/>
        <w:gridCol w:w="647"/>
        <w:gridCol w:w="867"/>
        <w:gridCol w:w="885"/>
      </w:tblGrid>
      <w:tr w14:paraId="16AD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3" w:type="pct"/>
            <w:vAlign w:val="center"/>
          </w:tcPr>
          <w:p w14:paraId="05C0087B">
            <w:pPr>
              <w:jc w:val="center"/>
            </w:pPr>
            <w:r>
              <w:rPr>
                <w:rFonts w:hint="eastAsia"/>
              </w:rPr>
              <w:t>序号</w:t>
            </w:r>
          </w:p>
        </w:tc>
        <w:tc>
          <w:tcPr>
            <w:tcW w:w="925" w:type="pct"/>
            <w:vAlign w:val="center"/>
          </w:tcPr>
          <w:p w14:paraId="14656256">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24" w:type="pct"/>
            <w:vAlign w:val="center"/>
          </w:tcPr>
          <w:p w14:paraId="12B7B936">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83" w:type="pct"/>
            <w:vAlign w:val="center"/>
          </w:tcPr>
          <w:p w14:paraId="3413E16D">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29" w:type="pct"/>
            <w:vAlign w:val="center"/>
          </w:tcPr>
          <w:p w14:paraId="451C822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0ED7CAA0">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06" w:type="pct"/>
          </w:tcPr>
          <w:p w14:paraId="6ADCF69B">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4" w:type="pct"/>
            <w:shd w:val="clear" w:color="auto" w:fill="auto"/>
            <w:vAlign w:val="center"/>
          </w:tcPr>
          <w:p w14:paraId="6828AE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0A81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3" w:type="pct"/>
            <w:shd w:val="clear" w:color="000000" w:fill="FFFFFF"/>
            <w:vAlign w:val="center"/>
          </w:tcPr>
          <w:p w14:paraId="398E4CED">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03AA5E1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74</w:t>
            </w:r>
          </w:p>
        </w:tc>
        <w:tc>
          <w:tcPr>
            <w:tcW w:w="624" w:type="pct"/>
            <w:vAlign w:val="center"/>
          </w:tcPr>
          <w:p w14:paraId="758E20F0">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口腔用胶原蛋白海绵</w:t>
            </w:r>
          </w:p>
        </w:tc>
        <w:tc>
          <w:tcPr>
            <w:tcW w:w="1683" w:type="pct"/>
            <w:vAlign w:val="center"/>
          </w:tcPr>
          <w:p w14:paraId="6B475D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1.材质为胶原蛋白，呈白色多孔状固体海绵。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2.多种规格：圆台形、圆柱形、小方块、片状挑选，均为一次性使用。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3.规格尺寸：直径8±2 mm，高度15 ±3mm，宽度12 ±5mm，独立包装。</w:t>
            </w:r>
          </w:p>
          <w:p w14:paraId="722769EA">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4.用于口腔拔牙窝填充止血，软组织恢复，防止异物掉入。</w:t>
            </w:r>
          </w:p>
        </w:tc>
        <w:tc>
          <w:tcPr>
            <w:tcW w:w="429" w:type="pct"/>
            <w:vAlign w:val="center"/>
          </w:tcPr>
          <w:p w14:paraId="1008FB5E">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1BD11D6">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口腔科</w:t>
            </w:r>
          </w:p>
        </w:tc>
        <w:tc>
          <w:tcPr>
            <w:tcW w:w="406" w:type="pct"/>
            <w:vAlign w:val="center"/>
          </w:tcPr>
          <w:p w14:paraId="30C0A03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7AC88D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85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213" w:type="pct"/>
            <w:shd w:val="clear" w:color="000000" w:fill="FFFFFF"/>
            <w:vAlign w:val="center"/>
          </w:tcPr>
          <w:p w14:paraId="685B4A1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2BA6F6B4">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75</w:t>
            </w:r>
          </w:p>
        </w:tc>
        <w:tc>
          <w:tcPr>
            <w:tcW w:w="624" w:type="pct"/>
            <w:vAlign w:val="center"/>
          </w:tcPr>
          <w:p w14:paraId="6C05355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rPr>
              <w:t>硅胶眼科植入物</w:t>
            </w:r>
          </w:p>
        </w:tc>
        <w:tc>
          <w:tcPr>
            <w:tcW w:w="1683" w:type="pct"/>
            <w:vAlign w:val="center"/>
          </w:tcPr>
          <w:p w14:paraId="05AF4A58">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用于视网膜脱离复位手术的环扎和外垫压手术的辅助治疗。</w:t>
            </w:r>
          </w:p>
          <w:p w14:paraId="3E73FBDE">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含实体视网膜脱离植入物与海绵体视网膜脱离植入物两种。</w:t>
            </w:r>
          </w:p>
          <w:p w14:paraId="4D527842">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实体的视网膜脱离植入物，拉伸强度≥6.0MPa,扯断伸长率≥500%，扯断永久变形≤15%，硬度（邵尔A）30-75</w:t>
            </w:r>
            <w:r>
              <w:rPr>
                <w:rFonts w:hint="eastAsia" w:asciiTheme="minorEastAsia" w:hAnsiTheme="minorEastAsia" w:cstheme="minorEastAsia"/>
                <w:sz w:val="20"/>
                <w:szCs w:val="20"/>
                <w:lang w:eastAsia="zh-CN"/>
              </w:rPr>
              <w:t>。</w:t>
            </w:r>
          </w:p>
          <w:p w14:paraId="51726A6E">
            <w:pPr>
              <w:keepNext w:val="0"/>
              <w:keepLines w:val="0"/>
              <w:widowControl/>
              <w:numPr>
                <w:ilvl w:val="0"/>
                <w:numId w:val="8"/>
              </w:numPr>
              <w:suppressLineNumbers w:val="0"/>
              <w:jc w:val="both"/>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海绵体的视网膜脱离植入物，拉伸强度≥0.3MPa，扯断伸长率≥200%，扯断永久变形≤15%。</w:t>
            </w:r>
          </w:p>
        </w:tc>
        <w:tc>
          <w:tcPr>
            <w:tcW w:w="429" w:type="pct"/>
            <w:vAlign w:val="center"/>
          </w:tcPr>
          <w:p w14:paraId="7085015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70C3C0F3">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眼科</w:t>
            </w:r>
          </w:p>
        </w:tc>
        <w:tc>
          <w:tcPr>
            <w:tcW w:w="406" w:type="pct"/>
            <w:vAlign w:val="center"/>
          </w:tcPr>
          <w:p w14:paraId="671D87F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1A5DFD6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sz w:val="20"/>
                <w:szCs w:val="20"/>
                <w:u w:val="none"/>
                <w:lang w:val="en-US" w:eastAsia="zh-CN"/>
              </w:rPr>
              <w:t>否</w:t>
            </w:r>
          </w:p>
        </w:tc>
      </w:tr>
      <w:tr w14:paraId="2CB7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3" w:type="pct"/>
            <w:shd w:val="clear" w:color="000000" w:fill="FFFFFF"/>
            <w:vAlign w:val="center"/>
          </w:tcPr>
          <w:p w14:paraId="439CE36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5177E11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76</w:t>
            </w:r>
          </w:p>
        </w:tc>
        <w:tc>
          <w:tcPr>
            <w:tcW w:w="624" w:type="pct"/>
            <w:vAlign w:val="center"/>
          </w:tcPr>
          <w:p w14:paraId="25CBD664">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引流袋（排泄物管理系统套件）</w:t>
            </w:r>
          </w:p>
        </w:tc>
        <w:tc>
          <w:tcPr>
            <w:tcW w:w="1683" w:type="pct"/>
            <w:vAlign w:val="center"/>
          </w:tcPr>
          <w:p w14:paraId="1BD4D6C9">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1.排泄物引流装置套件由低压双球囊、引流管、扎带、球囊充起器及收集袋组成，用于排出物为液体或半液体的大便失禁管理。</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2.前端聚氨酯双球囊波纹管设计，须符合肛门直肠解剖结构，充气后能有效固定，减少对直肠粘膜的压迫。</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3.管径配有冲洗腔，保证有效引流的同时，可进行管腔冲洗，防止粪便堵塞。</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4.引流袋须有抗返流功能，活性炭排气孔，减少逆行感染和气味污染。</w:t>
            </w:r>
          </w:p>
        </w:tc>
        <w:tc>
          <w:tcPr>
            <w:tcW w:w="429" w:type="pct"/>
            <w:vAlign w:val="center"/>
          </w:tcPr>
          <w:p w14:paraId="76A7DAC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5B318C2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重症医学科</w:t>
            </w:r>
          </w:p>
        </w:tc>
        <w:tc>
          <w:tcPr>
            <w:tcW w:w="406" w:type="pct"/>
            <w:vAlign w:val="center"/>
          </w:tcPr>
          <w:p w14:paraId="377857A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7BBE61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CA4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0E06CBFF">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15DCFC35">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77</w:t>
            </w:r>
          </w:p>
        </w:tc>
        <w:tc>
          <w:tcPr>
            <w:tcW w:w="624" w:type="pct"/>
            <w:vAlign w:val="center"/>
          </w:tcPr>
          <w:p w14:paraId="56DE041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鼻咽通气异型导管（一次性使用）</w:t>
            </w:r>
          </w:p>
        </w:tc>
        <w:tc>
          <w:tcPr>
            <w:tcW w:w="1683" w:type="pct"/>
            <w:vAlign w:val="center"/>
          </w:tcPr>
          <w:p w14:paraId="0FEC2F44">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1.具备呼气末二氧化碳分压监测功能。通过对咽部二氧化碳持续采样，及时评估通气情况，确保患者通气安全。</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▲2.前端弧形微创软头设计。</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3.硅胶材料，外壁超滑涂层。</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4.深度调节环。通过预设深度调节环，满足控制插入深度要求。</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▲5.双氧源接头，可以直接连接多种氧源且不影响呼末二氧化碳监测。</w:t>
            </w:r>
          </w:p>
        </w:tc>
        <w:tc>
          <w:tcPr>
            <w:tcW w:w="429" w:type="pct"/>
            <w:vAlign w:val="center"/>
          </w:tcPr>
          <w:p w14:paraId="4AD4E1E9">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142B55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麻醉科</w:t>
            </w:r>
          </w:p>
        </w:tc>
        <w:tc>
          <w:tcPr>
            <w:tcW w:w="406" w:type="pct"/>
            <w:vAlign w:val="center"/>
          </w:tcPr>
          <w:p w14:paraId="4C71B0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727D04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09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35D94DB1">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5135EAD4">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78</w:t>
            </w:r>
          </w:p>
        </w:tc>
        <w:tc>
          <w:tcPr>
            <w:tcW w:w="624" w:type="pct"/>
            <w:vAlign w:val="center"/>
          </w:tcPr>
          <w:p w14:paraId="0478B0E4">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一次性使用子宫支架</w:t>
            </w:r>
          </w:p>
        </w:tc>
        <w:tc>
          <w:tcPr>
            <w:tcW w:w="1683" w:type="pct"/>
            <w:vAlign w:val="center"/>
          </w:tcPr>
          <w:p w14:paraId="076321E5">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产品表面光滑、材质柔软，厚度在0.1-0.5mm，避免对子宫内膜形成压迫。</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支架尾部可调节修剪；</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 xml:space="preserve"> 可根据宫腔形态和长度选择不同的规格；</w:t>
            </w:r>
          </w:p>
        </w:tc>
        <w:tc>
          <w:tcPr>
            <w:tcW w:w="429" w:type="pct"/>
            <w:vAlign w:val="center"/>
          </w:tcPr>
          <w:p w14:paraId="3F334454">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83194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03452D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39D3F8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F5C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3947842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6</w:t>
            </w:r>
          </w:p>
        </w:tc>
        <w:tc>
          <w:tcPr>
            <w:tcW w:w="925" w:type="pct"/>
            <w:shd w:val="clear" w:color="000000" w:fill="FFFFFF"/>
            <w:noWrap/>
            <w:vAlign w:val="center"/>
          </w:tcPr>
          <w:p w14:paraId="6251B81E">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79</w:t>
            </w:r>
          </w:p>
        </w:tc>
        <w:tc>
          <w:tcPr>
            <w:tcW w:w="624" w:type="pct"/>
            <w:vAlign w:val="center"/>
          </w:tcPr>
          <w:p w14:paraId="33CF59B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一次性使用活检钳</w:t>
            </w:r>
          </w:p>
        </w:tc>
        <w:tc>
          <w:tcPr>
            <w:tcW w:w="1683" w:type="pct"/>
            <w:vAlign w:val="center"/>
          </w:tcPr>
          <w:p w14:paraId="0C1ED3A1">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 xml:space="preserve">1.主要用于宫腔镜下取异物或组织取样。      </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 xml:space="preserve">2.活检钳外径1.2-2.5mm，可适用于5fr和7fr的器械通道；                               </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3.活检钳工作长度400-410mm。</w:t>
            </w:r>
          </w:p>
        </w:tc>
        <w:tc>
          <w:tcPr>
            <w:tcW w:w="429" w:type="pct"/>
            <w:vAlign w:val="center"/>
          </w:tcPr>
          <w:p w14:paraId="69DADC3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6F296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70C056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155400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AB2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3" w:type="pct"/>
            <w:shd w:val="clear" w:color="000000" w:fill="FFFFFF"/>
            <w:vAlign w:val="center"/>
          </w:tcPr>
          <w:p w14:paraId="59CF69C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7</w:t>
            </w:r>
          </w:p>
        </w:tc>
        <w:tc>
          <w:tcPr>
            <w:tcW w:w="925" w:type="pct"/>
            <w:shd w:val="clear" w:color="000000" w:fill="FFFFFF"/>
            <w:noWrap/>
            <w:vAlign w:val="center"/>
          </w:tcPr>
          <w:p w14:paraId="6D2C1456">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80</w:t>
            </w:r>
          </w:p>
        </w:tc>
        <w:tc>
          <w:tcPr>
            <w:tcW w:w="624" w:type="pct"/>
            <w:vAlign w:val="center"/>
          </w:tcPr>
          <w:p w14:paraId="64C7342F">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kern w:val="0"/>
                <w:sz w:val="20"/>
                <w:szCs w:val="20"/>
                <w:u w:val="none"/>
                <w:lang w:val="en-US" w:eastAsia="zh-CN" w:bidi="ar"/>
              </w:rPr>
              <w:t>一次性使用多通道腹腔镜手术单孔穿刺器(软器械鞘管)</w:t>
            </w:r>
          </w:p>
        </w:tc>
        <w:tc>
          <w:tcPr>
            <w:tcW w:w="1683" w:type="pct"/>
            <w:vAlign w:val="center"/>
          </w:tcPr>
          <w:p w14:paraId="44D42F5D">
            <w:pPr>
              <w:keepNext w:val="0"/>
              <w:keepLines w:val="0"/>
              <w:widowControl/>
              <w:suppressLineNumbers w:val="0"/>
              <w:jc w:val="left"/>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密封体B变高保护器、密封体和外径需70mm-90mm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密封体需求要四支建立工作通道的鞘管，需求分别为两支Φ5的鞘管，一支Φ10和一支Φ12的鞘管</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通道高度需：90mm-170mm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4</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带保护形鞘管针的穿刺刀切削刃面的表面粗糙度Ra值应不大于 0.8μm;</w:t>
            </w:r>
            <w:r>
              <w:rPr>
                <w:rFonts w:hint="eastAsia" w:asciiTheme="minorEastAsia" w:hAnsiTheme="minorEastAsia" w:eastAsiaTheme="minorEastAsia" w:cstheme="minorEastAsia"/>
                <w:sz w:val="20"/>
                <w:szCs w:val="20"/>
                <w:lang w:val="en-US" w:eastAsia="zh-CN"/>
              </w:rPr>
              <w:br w:type="textWrapping"/>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cstheme="minorEastAsia"/>
                <w:sz w:val="20"/>
                <w:szCs w:val="20"/>
                <w:lang w:val="en-US" w:eastAsia="zh-CN"/>
              </w:rPr>
              <w:t>.</w:t>
            </w:r>
            <w:r>
              <w:rPr>
                <w:rFonts w:hint="eastAsia" w:asciiTheme="minorEastAsia" w:hAnsiTheme="minorEastAsia" w:eastAsiaTheme="minorEastAsia" w:cstheme="minorEastAsia"/>
                <w:sz w:val="20"/>
                <w:szCs w:val="20"/>
                <w:lang w:val="en-US" w:eastAsia="zh-CN"/>
              </w:rPr>
              <w:t>产品应无菌，环氧乙残留应不大于10μg/g;一次性使用。</w:t>
            </w:r>
          </w:p>
        </w:tc>
        <w:tc>
          <w:tcPr>
            <w:tcW w:w="429" w:type="pct"/>
            <w:vAlign w:val="center"/>
          </w:tcPr>
          <w:p w14:paraId="1C0B296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0CC443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妇科</w:t>
            </w:r>
          </w:p>
        </w:tc>
        <w:tc>
          <w:tcPr>
            <w:tcW w:w="406" w:type="pct"/>
            <w:vAlign w:val="center"/>
          </w:tcPr>
          <w:p w14:paraId="694500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4" w:type="pct"/>
            <w:shd w:val="clear" w:color="auto" w:fill="auto"/>
            <w:vAlign w:val="center"/>
          </w:tcPr>
          <w:p w14:paraId="4C8E22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50B8FE1E">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3"/>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4"/>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4"/>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6"/>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6"/>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8"/>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4"/>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0"/>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21674"/>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21587"/>
      <w:bookmarkStart w:id="18" w:name="_Toc100052409"/>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1816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5"/>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2"/>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3"/>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4"/>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4"/>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4"/>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4"/>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4"/>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4"/>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4"/>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4"/>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F912C1-8F01-4700-AF26-314E86BBE0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F61870C-3D8A-4D3E-AC48-26ED684F176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FE4E77D7-7FA8-4C9D-86E9-3E6D3ABA136C}"/>
  </w:font>
  <w:font w:name="华文中宋">
    <w:panose1 w:val="02010600040101010101"/>
    <w:charset w:val="86"/>
    <w:family w:val="auto"/>
    <w:pitch w:val="default"/>
    <w:sig w:usb0="00000287" w:usb1="080F0000" w:usb2="00000000" w:usb3="00000000" w:csb0="0004009F" w:csb1="DFD70000"/>
    <w:embedRegular r:id="rId4" w:fontKey="{E00B5FB8-8E72-46DA-9263-9E227DBC962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55D5DB50-8F36-4F2E-9DB3-652949EDB842}"/>
  </w:font>
  <w:font w:name="微软雅黑">
    <w:panose1 w:val="020B0503020204020204"/>
    <w:charset w:val="86"/>
    <w:family w:val="swiss"/>
    <w:pitch w:val="default"/>
    <w:sig w:usb0="80000287" w:usb1="2ACF3C50" w:usb2="00000016" w:usb3="00000000" w:csb0="0004001F" w:csb1="00000000"/>
    <w:embedRegular r:id="rId6" w:fontKey="{49AB0713-241B-447D-AA74-30E44905C517}"/>
  </w:font>
  <w:font w:name="Arial Unicode MS">
    <w:panose1 w:val="020B0604020202020204"/>
    <w:charset w:val="86"/>
    <w:family w:val="auto"/>
    <w:pitch w:val="default"/>
    <w:sig w:usb0="FFFFFFFF" w:usb1="E9FFFFFF" w:usb2="0000003F" w:usb3="00000000" w:csb0="603F01FF" w:csb1="FFFF0000"/>
    <w:embedRegular r:id="rId7" w:fontKey="{19A3DF08-4545-4712-8ED4-F2D9C6C36A9B}"/>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AA94C75F-23F6-46A8-BCB5-DBBED7920A6A}"/>
  </w:font>
  <w:font w:name="方正小标宋_GBK">
    <w:panose1 w:val="02000000000000000000"/>
    <w:charset w:val="86"/>
    <w:family w:val="script"/>
    <w:pitch w:val="default"/>
    <w:sig w:usb0="A00002BF" w:usb1="38CF7CFA" w:usb2="00082016" w:usb3="00000000" w:csb0="00040001" w:csb1="00000000"/>
    <w:embedRegular r:id="rId9" w:fontKey="{D1E00E9F-E36F-43D2-BBA3-8A88711A23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E70E8C26"/>
    <w:multiLevelType w:val="singleLevel"/>
    <w:tmpl w:val="E70E8C26"/>
    <w:lvl w:ilvl="0" w:tentative="0">
      <w:start w:val="1"/>
      <w:numFmt w:val="decimal"/>
      <w:lvlText w:val="%1."/>
      <w:lvlJc w:val="left"/>
      <w:pPr>
        <w:tabs>
          <w:tab w:val="left" w:pos="312"/>
        </w:tabs>
      </w:p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DF4FAB0"/>
    <w:multiLevelType w:val="singleLevel"/>
    <w:tmpl w:val="3DF4FAB0"/>
    <w:lvl w:ilvl="0" w:tentative="0">
      <w:start w:val="1"/>
      <w:numFmt w:val="decimal"/>
      <w:lvlText w:val="(%1)"/>
      <w:lvlJc w:val="left"/>
      <w:pPr>
        <w:ind w:left="425" w:hanging="425"/>
      </w:pPr>
      <w:rPr>
        <w:rFonts w:hint="default"/>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2BF6775"/>
    <w:multiLevelType w:val="singleLevel"/>
    <w:tmpl w:val="72BF6775"/>
    <w:lvl w:ilvl="0" w:tentative="0">
      <w:start w:val="1"/>
      <w:numFmt w:val="decimal"/>
      <w:lvlText w:val="%1)"/>
      <w:lvlJc w:val="left"/>
      <w:pPr>
        <w:ind w:left="425" w:hanging="425"/>
      </w:pPr>
      <w:rPr>
        <w:rFonts w:hint="default"/>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3"/>
  </w:num>
  <w:num w:numId="3">
    <w:abstractNumId w:val="17"/>
  </w:num>
  <w:num w:numId="4">
    <w:abstractNumId w:val="9"/>
  </w:num>
  <w:num w:numId="5">
    <w:abstractNumId w:val="20"/>
  </w:num>
  <w:num w:numId="6">
    <w:abstractNumId w:val="11"/>
  </w:num>
  <w:num w:numId="7">
    <w:abstractNumId w:val="29"/>
  </w:num>
  <w:num w:numId="8">
    <w:abstractNumId w:val="10"/>
  </w:num>
  <w:num w:numId="9">
    <w:abstractNumId w:val="30"/>
  </w:num>
  <w:num w:numId="10">
    <w:abstractNumId w:val="28"/>
  </w:num>
  <w:num w:numId="11">
    <w:abstractNumId w:val="4"/>
  </w:num>
  <w:num w:numId="12">
    <w:abstractNumId w:val="22"/>
  </w:num>
  <w:num w:numId="13">
    <w:abstractNumId w:val="14"/>
  </w:num>
  <w:num w:numId="14">
    <w:abstractNumId w:val="13"/>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6"/>
  </w:num>
  <w:num w:numId="27">
    <w:abstractNumId w:val="31"/>
  </w:num>
  <w:num w:numId="28">
    <w:abstractNumId w:val="12"/>
  </w:num>
  <w:num w:numId="29">
    <w:abstractNumId w:val="8"/>
  </w:num>
  <w:num w:numId="30">
    <w:abstractNumId w:val="1"/>
  </w:num>
  <w:num w:numId="31">
    <w:abstractNumId w:val="18"/>
  </w:num>
  <w:num w:numId="32">
    <w:abstractNumId w:val="23"/>
  </w:num>
  <w:num w:numId="33">
    <w:abstractNumId w:val="6"/>
  </w:num>
  <w:num w:numId="34">
    <w:abstractNumId w:val="15"/>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9B1CCF"/>
    <w:rsid w:val="0CB1143F"/>
    <w:rsid w:val="0CCE2622"/>
    <w:rsid w:val="0E085C48"/>
    <w:rsid w:val="0EAF1387"/>
    <w:rsid w:val="0EBB3AA4"/>
    <w:rsid w:val="0FAD08ED"/>
    <w:rsid w:val="100D0676"/>
    <w:rsid w:val="10A23C41"/>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C84236"/>
    <w:rsid w:val="190B1E92"/>
    <w:rsid w:val="19285BF1"/>
    <w:rsid w:val="19A23C56"/>
    <w:rsid w:val="1A845156"/>
    <w:rsid w:val="1AF94279"/>
    <w:rsid w:val="1B51155A"/>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26E49"/>
    <w:rsid w:val="227616EA"/>
    <w:rsid w:val="249E5BD9"/>
    <w:rsid w:val="24B05A43"/>
    <w:rsid w:val="25335A76"/>
    <w:rsid w:val="257965BE"/>
    <w:rsid w:val="25897742"/>
    <w:rsid w:val="25DC0BEB"/>
    <w:rsid w:val="26013AFE"/>
    <w:rsid w:val="266F0A28"/>
    <w:rsid w:val="2677791D"/>
    <w:rsid w:val="268A42C5"/>
    <w:rsid w:val="26BE6F37"/>
    <w:rsid w:val="27AB0837"/>
    <w:rsid w:val="281B3EE1"/>
    <w:rsid w:val="28BB6273"/>
    <w:rsid w:val="2955346A"/>
    <w:rsid w:val="29B33674"/>
    <w:rsid w:val="2A29419B"/>
    <w:rsid w:val="2A7D4161"/>
    <w:rsid w:val="2BBE4A09"/>
    <w:rsid w:val="2CED6B8B"/>
    <w:rsid w:val="2D81021F"/>
    <w:rsid w:val="2DF5037E"/>
    <w:rsid w:val="2EBE628C"/>
    <w:rsid w:val="2FA22E86"/>
    <w:rsid w:val="307D0DF5"/>
    <w:rsid w:val="310D5099"/>
    <w:rsid w:val="31EE248D"/>
    <w:rsid w:val="33097BA0"/>
    <w:rsid w:val="340B487E"/>
    <w:rsid w:val="34627E5E"/>
    <w:rsid w:val="34876E3B"/>
    <w:rsid w:val="34D53509"/>
    <w:rsid w:val="362F5B1E"/>
    <w:rsid w:val="36607729"/>
    <w:rsid w:val="36DB2EFD"/>
    <w:rsid w:val="37295B73"/>
    <w:rsid w:val="373E02C1"/>
    <w:rsid w:val="37B27395"/>
    <w:rsid w:val="38273E27"/>
    <w:rsid w:val="38AA4085"/>
    <w:rsid w:val="399D0437"/>
    <w:rsid w:val="3A257964"/>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94A2E38"/>
    <w:rsid w:val="498F35C1"/>
    <w:rsid w:val="4A0A5CC7"/>
    <w:rsid w:val="4A307253"/>
    <w:rsid w:val="4A6C0158"/>
    <w:rsid w:val="4AB41B33"/>
    <w:rsid w:val="4B6824FD"/>
    <w:rsid w:val="4BDF11B3"/>
    <w:rsid w:val="4CBB3066"/>
    <w:rsid w:val="4CBE5242"/>
    <w:rsid w:val="4CD51A8F"/>
    <w:rsid w:val="4CEB6A0D"/>
    <w:rsid w:val="4D473FEB"/>
    <w:rsid w:val="4DBA7F6B"/>
    <w:rsid w:val="4E310299"/>
    <w:rsid w:val="4E3E74CF"/>
    <w:rsid w:val="4E4F6905"/>
    <w:rsid w:val="4EF852D8"/>
    <w:rsid w:val="4F012557"/>
    <w:rsid w:val="4FDF1192"/>
    <w:rsid w:val="50453910"/>
    <w:rsid w:val="505226DD"/>
    <w:rsid w:val="50637FC5"/>
    <w:rsid w:val="50BC39B4"/>
    <w:rsid w:val="50C56D57"/>
    <w:rsid w:val="51316A2D"/>
    <w:rsid w:val="52770955"/>
    <w:rsid w:val="52EB37B7"/>
    <w:rsid w:val="53281FE3"/>
    <w:rsid w:val="532D1418"/>
    <w:rsid w:val="5359798D"/>
    <w:rsid w:val="53607807"/>
    <w:rsid w:val="53844041"/>
    <w:rsid w:val="55631BDD"/>
    <w:rsid w:val="5577489C"/>
    <w:rsid w:val="55BA07E5"/>
    <w:rsid w:val="56FD199E"/>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620A8F"/>
    <w:rsid w:val="6E9758D2"/>
    <w:rsid w:val="70127ACB"/>
    <w:rsid w:val="70380052"/>
    <w:rsid w:val="70827584"/>
    <w:rsid w:val="710D3D1B"/>
    <w:rsid w:val="71BB14B3"/>
    <w:rsid w:val="737D6BFF"/>
    <w:rsid w:val="73B56776"/>
    <w:rsid w:val="74333BE9"/>
    <w:rsid w:val="74766D2B"/>
    <w:rsid w:val="74B925FE"/>
    <w:rsid w:val="74BB4498"/>
    <w:rsid w:val="74E7523A"/>
    <w:rsid w:val="753F5076"/>
    <w:rsid w:val="7542758E"/>
    <w:rsid w:val="75886FA4"/>
    <w:rsid w:val="758919A7"/>
    <w:rsid w:val="75AD3D2D"/>
    <w:rsid w:val="77A13DC6"/>
    <w:rsid w:val="77BF58CF"/>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60</Pages>
  <Words>3480</Words>
  <Characters>3831</Characters>
  <Lines>212</Lines>
  <Paragraphs>59</Paragraphs>
  <TotalTime>1</TotalTime>
  <ScaleCrop>false</ScaleCrop>
  <LinksUpToDate>false</LinksUpToDate>
  <CharactersWithSpaces>3868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2024-07-02T09:37:00Z</cp:lastPrinted>
  <dcterms:modified xsi:type="dcterms:W3CDTF">2025-05-15T07:45:33Z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