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中山大学附属第八医院货物类</w:t>
      </w:r>
    </w:p>
    <w:p>
      <w:pPr>
        <w:spacing w:line="640" w:lineRule="exact"/>
        <w:jc w:val="center"/>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招标需求</w:t>
      </w:r>
    </w:p>
    <w:p>
      <w:pPr>
        <w:spacing w:line="540" w:lineRule="exact"/>
        <w:ind w:firstLine="360" w:firstLineChars="100"/>
        <w:jc w:val="center"/>
        <w:rPr>
          <w:rFonts w:ascii="方正小标宋简体" w:hAnsi="方正小标宋简体" w:eastAsia="方正小标宋简体" w:cs="方正小标宋简体"/>
          <w:sz w:val="36"/>
          <w:szCs w:val="36"/>
          <w:highlight w:val="none"/>
        </w:rPr>
      </w:pPr>
    </w:p>
    <w:p>
      <w:pPr>
        <w:spacing w:line="540" w:lineRule="exact"/>
        <w:ind w:firstLine="360" w:firstLineChars="100"/>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第一部分 项目基本要求</w:t>
      </w:r>
    </w:p>
    <w:p>
      <w:pPr>
        <w:widowControl/>
        <w:spacing w:before="100" w:beforeAutospacing="1" w:after="100" w:afterAutospacing="1" w:line="360" w:lineRule="auto"/>
        <w:ind w:firstLine="480" w:firstLineChars="200"/>
        <w:rPr>
          <w:rFonts w:hint="eastAsia" w:ascii="方正小标宋简体" w:hAnsi="方正小标宋简体" w:eastAsia="方正小标宋简体" w:cs="方正小标宋简体"/>
          <w:b w:val="0"/>
          <w:bCs w:val="0"/>
          <w:kern w:val="0"/>
          <w:sz w:val="24"/>
          <w:szCs w:val="24"/>
          <w:highlight w:val="none"/>
          <w:lang w:eastAsia="zh-CN"/>
        </w:rPr>
      </w:pPr>
      <w:r>
        <w:rPr>
          <w:rFonts w:hint="eastAsia" w:ascii="方正小标宋简体" w:hAnsi="方正小标宋简体" w:eastAsia="方正小标宋简体" w:cs="方正小标宋简体"/>
          <w:b w:val="0"/>
          <w:bCs w:val="0"/>
          <w:sz w:val="24"/>
          <w:szCs w:val="24"/>
          <w:highlight w:val="none"/>
          <w:shd w:val="clear" w:color="auto" w:fill="FFFFFF"/>
        </w:rPr>
        <w:t>一、项目基本</w:t>
      </w:r>
      <w:r>
        <w:rPr>
          <w:rFonts w:hint="eastAsia" w:ascii="方正小标宋简体" w:hAnsi="方正小标宋简体" w:eastAsia="方正小标宋简体" w:cs="方正小标宋简体"/>
          <w:b w:val="0"/>
          <w:bCs w:val="0"/>
          <w:sz w:val="24"/>
          <w:szCs w:val="24"/>
          <w:highlight w:val="none"/>
          <w:shd w:val="clear" w:color="auto" w:fill="FFFFFF"/>
          <w:lang w:eastAsia="zh-CN"/>
        </w:rPr>
        <w:t>信息</w:t>
      </w:r>
      <w:bookmarkStart w:id="0" w:name="_GoBack"/>
      <w:bookmarkEnd w:id="0"/>
    </w:p>
    <w:p>
      <w:pPr>
        <w:numPr>
          <w:ilvl w:val="0"/>
          <w:numId w:val="1"/>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bCs/>
          <w:sz w:val="24"/>
          <w:szCs w:val="24"/>
          <w:highlight w:val="none"/>
        </w:rPr>
        <w:t>采购项目名称：</w:t>
      </w:r>
      <w:r>
        <w:rPr>
          <w:rFonts w:hint="eastAsia" w:ascii="宋体" w:hAnsi="宋体" w:eastAsia="宋体" w:cs="宋体"/>
          <w:sz w:val="24"/>
          <w:szCs w:val="24"/>
          <w:highlight w:val="none"/>
          <w:lang w:val="en-US" w:eastAsia="zh-CN"/>
        </w:rPr>
        <w:t>中医艾灸排烟设备协议供应商采购</w:t>
      </w:r>
    </w:p>
    <w:p>
      <w:pPr>
        <w:numPr>
          <w:ilvl w:val="0"/>
          <w:numId w:val="1"/>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eastAsia="zh-CN"/>
        </w:rPr>
        <w:t>人民币</w:t>
      </w:r>
      <w:r>
        <w:rPr>
          <w:rFonts w:hint="eastAsia" w:ascii="宋体" w:hAnsi="宋体" w:eastAsia="宋体" w:cs="宋体"/>
          <w:sz w:val="24"/>
          <w:szCs w:val="24"/>
          <w:highlight w:val="none"/>
          <w:lang w:val="en-US" w:eastAsia="zh-CN"/>
        </w:rPr>
        <w:t>26万元</w:t>
      </w:r>
    </w:p>
    <w:p>
      <w:pPr>
        <w:numPr>
          <w:ilvl w:val="0"/>
          <w:numId w:val="1"/>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最高限价</w:t>
      </w:r>
      <w:r>
        <w:rPr>
          <w:rFonts w:hint="eastAsia" w:ascii="宋体" w:hAnsi="宋体" w:eastAsia="宋体" w:cs="宋体"/>
          <w:sz w:val="24"/>
          <w:szCs w:val="24"/>
          <w:highlight w:val="none"/>
          <w:lang w:eastAsia="zh-CN"/>
        </w:rPr>
        <w:t>：人民币</w:t>
      </w:r>
      <w:r>
        <w:rPr>
          <w:rFonts w:hint="eastAsia" w:ascii="宋体" w:hAnsi="宋体" w:eastAsia="宋体" w:cs="宋体"/>
          <w:sz w:val="24"/>
          <w:szCs w:val="24"/>
          <w:highlight w:val="none"/>
          <w:lang w:val="en-US" w:eastAsia="zh-CN"/>
        </w:rPr>
        <w:t>26万元</w:t>
      </w:r>
    </w:p>
    <w:p>
      <w:pPr>
        <w:numPr>
          <w:ilvl w:val="0"/>
          <w:numId w:val="1"/>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bCs/>
          <w:sz w:val="24"/>
          <w:szCs w:val="24"/>
          <w:highlight w:val="none"/>
        </w:rPr>
        <w:t>采购需求：</w:t>
      </w:r>
    </w:p>
    <w:tbl>
      <w:tblPr>
        <w:tblStyle w:val="13"/>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1125"/>
        <w:gridCol w:w="309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08" w:type="dxa"/>
            <w:shd w:val="clear" w:color="auto" w:fill="EEECE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采购内容</w:t>
            </w:r>
          </w:p>
        </w:tc>
        <w:tc>
          <w:tcPr>
            <w:tcW w:w="1125" w:type="dxa"/>
            <w:shd w:val="clear" w:color="auto" w:fill="EEECE1"/>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3090" w:type="dxa"/>
            <w:shd w:val="clear" w:color="auto" w:fill="EEECE1"/>
            <w:vAlign w:val="center"/>
          </w:tcPr>
          <w:p>
            <w:pPr>
              <w:jc w:val="center"/>
              <w:rPr>
                <w:rFonts w:hint="eastAsia" w:ascii="宋体" w:hAnsi="宋体" w:eastAsia="宋体" w:cs="宋体"/>
                <w:b/>
                <w:sz w:val="24"/>
                <w:szCs w:val="24"/>
                <w:highlight w:val="none"/>
              </w:rPr>
            </w:pPr>
            <w:r>
              <w:rPr>
                <w:rFonts w:hint="eastAsia" w:ascii="宋体" w:hAnsi="宋体" w:eastAsia="宋体" w:cs="宋体"/>
                <w:b/>
                <w:bCs/>
                <w:kern w:val="0"/>
                <w:sz w:val="24"/>
                <w:szCs w:val="24"/>
                <w:highlight w:val="none"/>
              </w:rPr>
              <w:t>简要技术需求</w:t>
            </w:r>
          </w:p>
        </w:tc>
        <w:tc>
          <w:tcPr>
            <w:tcW w:w="2574" w:type="dxa"/>
            <w:shd w:val="clear" w:color="auto" w:fill="EEECE1"/>
            <w:vAlign w:val="center"/>
          </w:tcPr>
          <w:p>
            <w:pPr>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2508" w:type="dxa"/>
            <w:vAlign w:val="center"/>
          </w:tcPr>
          <w:p>
            <w:pPr>
              <w:jc w:val="center"/>
              <w:rPr>
                <w:rFonts w:hint="eastAsia" w:ascii="宋体" w:hAnsi="宋体" w:eastAsia="宋体" w:cs="宋体"/>
                <w:bCs/>
                <w:sz w:val="24"/>
                <w:szCs w:val="24"/>
                <w:highlight w:val="none"/>
              </w:rPr>
            </w:pPr>
            <w:r>
              <w:rPr>
                <w:rFonts w:hint="eastAsia" w:ascii="宋体" w:hAnsi="宋体" w:eastAsia="宋体" w:cs="宋体"/>
                <w:sz w:val="24"/>
                <w:szCs w:val="24"/>
                <w:highlight w:val="none"/>
                <w:lang w:val="en-US" w:eastAsia="zh-CN"/>
              </w:rPr>
              <w:t>中医艾灸排烟设备协议供应商采购</w:t>
            </w:r>
          </w:p>
        </w:tc>
        <w:tc>
          <w:tcPr>
            <w:tcW w:w="1125" w:type="dxa"/>
            <w:vAlign w:val="center"/>
          </w:tcPr>
          <w:p>
            <w:pPr>
              <w:jc w:val="center"/>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1家</w:t>
            </w:r>
          </w:p>
        </w:tc>
        <w:tc>
          <w:tcPr>
            <w:tcW w:w="3090" w:type="dxa"/>
            <w:vAlign w:val="center"/>
          </w:tcPr>
          <w:p>
            <w:pPr>
              <w:pStyle w:val="20"/>
              <w:spacing w:line="240" w:lineRule="auto"/>
              <w:ind w:hanging="67"/>
              <w:rPr>
                <w:rFonts w:hint="eastAsia" w:ascii="宋体" w:hAnsi="宋体" w:eastAsia="宋体" w:cs="宋体"/>
                <w:spacing w:val="0"/>
                <w:kern w:val="2"/>
                <w:sz w:val="24"/>
                <w:szCs w:val="24"/>
                <w:highlight w:val="none"/>
                <w:lang w:eastAsia="zh-CN"/>
              </w:rPr>
            </w:pPr>
            <w:r>
              <w:rPr>
                <w:rFonts w:hint="eastAsia" w:ascii="宋体" w:hAnsi="宋体" w:eastAsia="宋体" w:cs="宋体"/>
                <w:spacing w:val="0"/>
                <w:kern w:val="2"/>
                <w:sz w:val="24"/>
                <w:szCs w:val="24"/>
                <w:highlight w:val="none"/>
              </w:rPr>
              <w:t>详见采购项目内容</w:t>
            </w:r>
          </w:p>
        </w:tc>
        <w:tc>
          <w:tcPr>
            <w:tcW w:w="2574" w:type="dxa"/>
            <w:vAlign w:val="center"/>
          </w:tcPr>
          <w:p>
            <w:pPr>
              <w:pStyle w:val="20"/>
              <w:spacing w:line="240" w:lineRule="auto"/>
              <w:ind w:firstLine="120"/>
              <w:rPr>
                <w:rFonts w:hint="eastAsia" w:ascii="宋体" w:hAnsi="宋体" w:eastAsia="宋体" w:cs="宋体"/>
                <w:snapToGrid/>
                <w:spacing w:val="0"/>
                <w:kern w:val="2"/>
                <w:sz w:val="24"/>
                <w:szCs w:val="24"/>
                <w:highlight w:val="none"/>
                <w:lang w:eastAsia="zh-CN"/>
              </w:rPr>
            </w:pPr>
            <w:r>
              <w:rPr>
                <w:rFonts w:hint="eastAsia" w:ascii="宋体" w:hAnsi="宋体" w:eastAsia="宋体" w:cs="宋体"/>
                <w:snapToGrid/>
                <w:spacing w:val="0"/>
                <w:kern w:val="2"/>
                <w:sz w:val="24"/>
                <w:szCs w:val="24"/>
                <w:highlight w:val="none"/>
                <w:lang w:eastAsia="zh-CN"/>
              </w:rPr>
              <w:t>货物类</w:t>
            </w:r>
          </w:p>
        </w:tc>
      </w:tr>
    </w:tbl>
    <w:p>
      <w:pPr>
        <w:numPr>
          <w:ilvl w:val="0"/>
          <w:numId w:val="0"/>
        </w:numPr>
        <w:tabs>
          <w:tab w:val="left" w:pos="567"/>
        </w:tabs>
        <w:adjustRightInd w:val="0"/>
        <w:snapToGrid w:val="0"/>
        <w:spacing w:line="360" w:lineRule="auto"/>
        <w:ind w:left="400" w:leftChars="0"/>
        <w:rPr>
          <w:color w:val="000000"/>
          <w:kern w:val="0"/>
          <w:sz w:val="24"/>
          <w:szCs w:val="22"/>
          <w:highlight w:val="none"/>
        </w:rPr>
      </w:pPr>
    </w:p>
    <w:p>
      <w:pPr>
        <w:numPr>
          <w:ilvl w:val="0"/>
          <w:numId w:val="1"/>
        </w:numPr>
        <w:tabs>
          <w:tab w:val="left" w:pos="567"/>
        </w:tabs>
        <w:adjustRightInd w:val="0"/>
        <w:snapToGrid w:val="0"/>
        <w:spacing w:line="360" w:lineRule="auto"/>
        <w:ind w:left="0" w:leftChars="0" w:firstLine="400" w:firstLineChars="0"/>
        <w:rPr>
          <w:color w:val="000000"/>
          <w:kern w:val="0"/>
          <w:sz w:val="24"/>
          <w:szCs w:val="22"/>
          <w:highlight w:val="none"/>
        </w:rPr>
      </w:pPr>
      <w:r>
        <w:rPr>
          <w:rFonts w:hint="eastAsia" w:ascii="宋体" w:hAnsi="宋体" w:eastAsia="宋体" w:cs="宋体"/>
          <w:sz w:val="24"/>
          <w:szCs w:val="24"/>
          <w:highlight w:val="none"/>
          <w:lang w:val="en-US" w:eastAsia="zh-CN"/>
        </w:rPr>
        <w:t>协议</w:t>
      </w:r>
      <w:r>
        <w:rPr>
          <w:rFonts w:hint="eastAsia" w:ascii="宋体" w:hAnsi="宋体" w:eastAsia="宋体" w:cs="宋体"/>
          <w:sz w:val="24"/>
          <w:szCs w:val="24"/>
          <w:highlight w:val="none"/>
        </w:rPr>
        <w:t>期限：</w:t>
      </w:r>
      <w:r>
        <w:rPr>
          <w:rFonts w:hint="eastAsia" w:eastAsia="宋体"/>
          <w:b w:val="0"/>
          <w:bCs w:val="0"/>
          <w:sz w:val="24"/>
          <w:highlight w:val="none"/>
          <w:lang w:val="en-US" w:eastAsia="zh-CN"/>
        </w:rPr>
        <w:t>本项目合同期限为一年，期满后，采购人可根据中标人履约情况确定合同期限是否延长，但最长不超过两年，第一年为本次项目的中标服务期限，合同一年一签。</w:t>
      </w:r>
    </w:p>
    <w:p>
      <w:pPr>
        <w:widowControl/>
        <w:numPr>
          <w:ilvl w:val="0"/>
          <w:numId w:val="2"/>
        </w:numPr>
        <w:spacing w:before="100" w:beforeAutospacing="1" w:after="100" w:afterAutospacing="1" w:line="360" w:lineRule="auto"/>
        <w:ind w:left="420" w:leftChars="200"/>
        <w:rPr>
          <w:rFonts w:hint="eastAsia" w:ascii="宋体" w:hAnsi="宋体" w:eastAsia="宋体" w:cs="宋体"/>
          <w:sz w:val="24"/>
          <w:szCs w:val="24"/>
          <w:highlight w:val="none"/>
        </w:rPr>
      </w:pPr>
      <w:r>
        <w:rPr>
          <w:rFonts w:hint="eastAsia" w:ascii="方正小标宋简体" w:hAnsi="方正小标宋简体" w:eastAsia="方正小标宋简体" w:cs="方正小标宋简体"/>
          <w:b w:val="0"/>
          <w:bCs w:val="0"/>
          <w:sz w:val="24"/>
          <w:szCs w:val="24"/>
          <w:highlight w:val="none"/>
          <w:shd w:val="clear" w:color="auto" w:fill="FFFFFF"/>
        </w:rPr>
        <w:t>投标人资格要求</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符合《中华人民共和国政府采购法》第二十二条规定条件。</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投标人须是在中华人民共和国境内注册的有合法经营资格的国内独立法人（提供合法有效的营业执照原件扫描件）。</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rFonts w:hint="eastAsia"/>
          <w:color w:val="000000"/>
          <w:kern w:val="0"/>
          <w:sz w:val="24"/>
          <w:szCs w:val="22"/>
          <w:highlight w:val="none"/>
        </w:rPr>
        <w:t>投标人须提供与项目相关的特殊资质：</w:t>
      </w:r>
      <w:r>
        <w:rPr>
          <w:rFonts w:hint="eastAsia"/>
          <w:color w:val="000000"/>
          <w:kern w:val="0"/>
          <w:sz w:val="24"/>
          <w:szCs w:val="22"/>
          <w:highlight w:val="none"/>
          <w:lang w:val="en-US" w:eastAsia="zh-CN"/>
        </w:rPr>
        <w:t>无</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投标人须提供法人授权委托证明书原件，法定代表人身份证复印件，被授权人身份证复印件（加盖公章）。</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参与本项目投标前三年内，在经营活动中没有重大违法记录或不存在被有关部门禁止参与政府采购活动且在有效期内的情况。未被列入违法失信行为记录名单。（投标人出具以上资格声明函）。</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rFonts w:hint="eastAsia"/>
          <w:color w:val="000000"/>
          <w:kern w:val="0"/>
          <w:sz w:val="24"/>
          <w:szCs w:val="22"/>
          <w:highlight w:val="none"/>
        </w:rPr>
        <w:t>投标人未被列入失信被执行人、重大税收违法案件当事人名单、政府采购严重违法失信行为记录名单。（“信用中国”、“中国政府采购网”以及“深圳市政府采购监管网”为投标人信用信息的查询渠道，并提供截图，相关信息以中标通知书发出前的查询结果为准）</w:t>
      </w:r>
      <w:r>
        <w:rPr>
          <w:rFonts w:hint="eastAsia"/>
          <w:kern w:val="0"/>
          <w:sz w:val="24"/>
          <w:szCs w:val="22"/>
          <w:highlight w:val="none"/>
        </w:rPr>
        <w:t>（投标人出具资格声明函）</w:t>
      </w:r>
      <w:r>
        <w:rPr>
          <w:rFonts w:hint="eastAsia"/>
          <w:color w:val="000000"/>
          <w:kern w:val="0"/>
          <w:sz w:val="24"/>
          <w:szCs w:val="22"/>
          <w:highlight w:val="none"/>
        </w:rPr>
        <w:t>。</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单位负责人为同一人或者存在直接控股、管理关系的不同供应商，不得参加同一包号投标或者未划分包号的同一招标项目投标（投标人出具声明函）。</w:t>
      </w:r>
    </w:p>
    <w:p>
      <w:pPr>
        <w:widowControl/>
        <w:numPr>
          <w:ilvl w:val="0"/>
          <w:numId w:val="3"/>
        </w:numPr>
        <w:adjustRightInd w:val="0"/>
        <w:snapToGrid w:val="0"/>
        <w:spacing w:line="400" w:lineRule="atLeast"/>
        <w:ind w:left="0" w:leftChars="0" w:firstLine="480" w:firstLineChars="200"/>
        <w:rPr>
          <w:color w:val="000000"/>
          <w:kern w:val="0"/>
          <w:sz w:val="24"/>
          <w:szCs w:val="22"/>
          <w:highlight w:val="none"/>
        </w:rPr>
      </w:pPr>
      <w:r>
        <w:rPr>
          <w:color w:val="000000"/>
          <w:kern w:val="0"/>
          <w:sz w:val="24"/>
          <w:szCs w:val="22"/>
          <w:highlight w:val="none"/>
        </w:rPr>
        <w:t>本项目不接受联合体投标，不允许转包、分包。</w:t>
      </w:r>
    </w:p>
    <w:p>
      <w:pPr>
        <w:spacing w:line="540" w:lineRule="exact"/>
        <w:ind w:left="420" w:leftChars="200"/>
        <w:rPr>
          <w:rFonts w:ascii="Times New Roman" w:hAnsi="Times New Roman" w:eastAsia="仿宋_GB2312" w:cs="Times New Roman"/>
          <w:sz w:val="44"/>
          <w:szCs w:val="44"/>
          <w:highlight w:val="none"/>
        </w:rPr>
      </w:pPr>
    </w:p>
    <w:p>
      <w:pPr>
        <w:pStyle w:val="6"/>
        <w:rPr>
          <w:highlight w:val="none"/>
        </w:rPr>
      </w:pPr>
    </w:p>
    <w:p>
      <w:pPr>
        <w:rPr>
          <w:rFonts w:hint="eastAsia" w:ascii="方正小标宋简体" w:hAnsi="方正小标宋简体" w:eastAsia="方正小标宋简体" w:cs="方正小标宋简体"/>
          <w:sz w:val="32"/>
          <w:szCs w:val="32"/>
          <w:highlight w:val="none"/>
          <w:lang w:eastAsia="zh-CN"/>
        </w:rPr>
      </w:pPr>
      <w:r>
        <w:rPr>
          <w:rFonts w:hint="eastAsia" w:ascii="方正小标宋简体" w:hAnsi="方正小标宋简体" w:eastAsia="方正小标宋简体" w:cs="方正小标宋简体"/>
          <w:sz w:val="32"/>
          <w:szCs w:val="32"/>
          <w:highlight w:val="none"/>
        </w:rPr>
        <w:br w:type="page"/>
      </w:r>
    </w:p>
    <w:p>
      <w:pPr>
        <w:numPr>
          <w:ilvl w:val="0"/>
          <w:numId w:val="4"/>
        </w:numPr>
        <w:spacing w:line="540" w:lineRule="exact"/>
        <w:jc w:val="center"/>
        <w:rPr>
          <w:rFonts w:hint="eastAsia" w:ascii="方正小标宋简体" w:hAnsi="方正小标宋简体" w:eastAsia="方正小标宋简体" w:cs="方正小标宋简体"/>
          <w:sz w:val="32"/>
          <w:szCs w:val="32"/>
          <w:highlight w:val="none"/>
          <w:lang w:eastAsia="zh-CN"/>
        </w:rPr>
      </w:pPr>
      <w:r>
        <w:rPr>
          <w:rFonts w:hint="eastAsia" w:ascii="方正小标宋简体" w:hAnsi="方正小标宋简体" w:eastAsia="方正小标宋简体" w:cs="方正小标宋简体"/>
          <w:sz w:val="32"/>
          <w:szCs w:val="32"/>
          <w:highlight w:val="none"/>
        </w:rPr>
        <w:t>采购项目</w:t>
      </w:r>
      <w:r>
        <w:rPr>
          <w:rFonts w:hint="eastAsia" w:ascii="方正小标宋简体" w:hAnsi="方正小标宋简体" w:eastAsia="方正小标宋简体" w:cs="方正小标宋简体"/>
          <w:sz w:val="32"/>
          <w:szCs w:val="32"/>
          <w:highlight w:val="none"/>
          <w:lang w:eastAsia="zh-CN"/>
        </w:rPr>
        <w:t>需求（用户需求书）</w:t>
      </w:r>
    </w:p>
    <w:p>
      <w:pPr>
        <w:pStyle w:val="6"/>
        <w:numPr>
          <w:ilvl w:val="0"/>
          <w:numId w:val="0"/>
        </w:numPr>
        <w:rPr>
          <w:rFonts w:hint="eastAsia"/>
          <w:highlight w:val="none"/>
          <w:lang w:eastAsia="zh-CN"/>
        </w:rPr>
      </w:pPr>
    </w:p>
    <w:p>
      <w:pPr>
        <w:numPr>
          <w:ilvl w:val="0"/>
          <w:numId w:val="0"/>
        </w:numPr>
        <w:tabs>
          <w:tab w:val="left" w:pos="567"/>
        </w:tabs>
        <w:adjustRightInd w:val="0"/>
        <w:snapToGrid w:val="0"/>
        <w:spacing w:line="360" w:lineRule="auto"/>
        <w:ind w:left="400" w:leftChars="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说明：</w:t>
      </w:r>
    </w:p>
    <w:p>
      <w:pPr>
        <w:numPr>
          <w:ilvl w:val="0"/>
          <w:numId w:val="5"/>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投标人须对本项目的采购标的或服务内容进行整体响应，任何只对采购标的或服务</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内容其中一部分内容进行的响应都被视为无效投标。</w:t>
      </w:r>
    </w:p>
    <w:p>
      <w:pPr>
        <w:numPr>
          <w:ilvl w:val="0"/>
          <w:numId w:val="5"/>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用户需求书中打“★”号条款为实质性条款，有任何一条负偏离则导致无效投标</w:t>
      </w:r>
      <w:r>
        <w:rPr>
          <w:rFonts w:hint="eastAsia" w:ascii="宋体" w:hAnsi="宋体" w:eastAsia="宋体" w:cs="宋体"/>
          <w:sz w:val="24"/>
          <w:szCs w:val="24"/>
          <w:highlight w:val="none"/>
          <w:lang w:eastAsia="zh-CN"/>
        </w:rPr>
        <w:t>。</w:t>
      </w:r>
    </w:p>
    <w:p>
      <w:pPr>
        <w:numPr>
          <w:ilvl w:val="0"/>
          <w:numId w:val="5"/>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用户需求书中打“▲”号条款为重要技术参数，但不作为无效投标条款。</w:t>
      </w:r>
    </w:p>
    <w:p>
      <w:pPr>
        <w:numPr>
          <w:ilvl w:val="0"/>
          <w:numId w:val="5"/>
        </w:numPr>
        <w:tabs>
          <w:tab w:val="left" w:pos="567"/>
        </w:tabs>
        <w:adjustRightInd w:val="0"/>
        <w:snapToGrid w:val="0"/>
        <w:spacing w:line="360" w:lineRule="auto"/>
        <w:ind w:left="0" w:leftChars="0" w:firstLine="40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用户需求书中打“●”号的为采购的核心产品，投标人应在《投标分项报价表》中清晰列明“产品名称、品牌、型号”。</w:t>
      </w:r>
    </w:p>
    <w:p>
      <w:pPr>
        <w:pStyle w:val="6"/>
        <w:rPr>
          <w:rFonts w:hint="eastAsia" w:ascii="宋体" w:hAnsi="宋体" w:eastAsia="宋体" w:cs="宋体"/>
          <w:sz w:val="24"/>
          <w:szCs w:val="24"/>
          <w:highlight w:val="none"/>
        </w:rPr>
      </w:pPr>
    </w:p>
    <w:p>
      <w:pPr>
        <w:rPr>
          <w:rFonts w:hint="eastAsia"/>
          <w:highlight w:val="none"/>
        </w:rPr>
      </w:pPr>
    </w:p>
    <w:p>
      <w:pPr>
        <w:numPr>
          <w:ilvl w:val="0"/>
          <w:numId w:val="6"/>
        </w:numPr>
        <w:spacing w:line="540" w:lineRule="exact"/>
        <w:ind w:left="0" w:leftChars="0" w:firstLine="420" w:firstLineChars="0"/>
        <w:rPr>
          <w:rFonts w:hint="eastAsia" w:ascii="方正小标宋简体" w:hAnsi="方正小标宋简体" w:eastAsia="方正小标宋简体" w:cs="方正小标宋简体"/>
          <w:b w:val="0"/>
          <w:bCs w:val="0"/>
          <w:sz w:val="24"/>
          <w:szCs w:val="24"/>
          <w:highlight w:val="none"/>
        </w:rPr>
      </w:pPr>
      <w:r>
        <w:rPr>
          <w:rFonts w:hint="eastAsia" w:ascii="方正小标宋简体" w:hAnsi="方正小标宋简体" w:eastAsia="方正小标宋简体" w:cs="方正小标宋简体"/>
          <w:b w:val="0"/>
          <w:bCs w:val="0"/>
          <w:sz w:val="24"/>
          <w:szCs w:val="24"/>
          <w:highlight w:val="none"/>
        </w:rPr>
        <w:t>项目背景</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2023年3月21日，福田区卫生健康局印发了《2023年福田区社康业务服务质量考核评估方案》，根据《福田区2023年中医药服务质量考核评分标准》（区域社康中心/站）的要求，社康需设立中医科，开展中医诊疗需要使用艾灸熏蒸。</w:t>
      </w:r>
    </w:p>
    <w:p>
      <w:pPr>
        <w:rPr>
          <w:rFonts w:hint="eastAsia"/>
          <w:highlight w:val="none"/>
          <w:lang w:val="en-US" w:eastAsia="zh-CN"/>
        </w:rPr>
      </w:pPr>
    </w:p>
    <w:p>
      <w:pPr>
        <w:numPr>
          <w:ilvl w:val="0"/>
          <w:numId w:val="6"/>
        </w:numPr>
        <w:ind w:left="0" w:leftChars="0" w:firstLine="420" w:firstLineChars="0"/>
        <w:rPr>
          <w:rFonts w:hint="eastAsia" w:ascii="方正小标宋简体" w:hAnsi="方正小标宋简体" w:eastAsia="方正小标宋简体" w:cs="方正小标宋简体"/>
          <w:b w:val="0"/>
          <w:bCs w:val="0"/>
          <w:kern w:val="2"/>
          <w:sz w:val="24"/>
          <w:szCs w:val="24"/>
          <w:highlight w:val="none"/>
          <w:lang w:val="en-US" w:eastAsia="zh-CN" w:bidi="ar-SA"/>
        </w:rPr>
      </w:pPr>
      <w:r>
        <w:rPr>
          <w:rFonts w:hint="eastAsia" w:ascii="方正小标宋简体" w:hAnsi="方正小标宋简体" w:eastAsia="方正小标宋简体" w:cs="方正小标宋简体"/>
          <w:b w:val="0"/>
          <w:bCs w:val="0"/>
          <w:kern w:val="2"/>
          <w:sz w:val="24"/>
          <w:szCs w:val="24"/>
          <w:highlight w:val="none"/>
          <w:lang w:val="en-US" w:eastAsia="zh-CN" w:bidi="ar-SA"/>
        </w:rPr>
        <w:t>项目概况</w:t>
      </w:r>
    </w:p>
    <w:p>
      <w:pPr>
        <w:spacing w:line="360" w:lineRule="auto"/>
        <w:ind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原各社康未配套安装艾灸排烟设备，诊疗时艾灸熏蒸烟雾无法有效消除，多次被社区人员投诉，需申请安装专业艾灸排烟机和烟雾净化器，以保证正常的诊疗秩序。</w:t>
      </w:r>
    </w:p>
    <w:p>
      <w:pPr>
        <w:spacing w:line="540" w:lineRule="exact"/>
        <w:rPr>
          <w:rFonts w:hint="eastAsia" w:ascii="方正小标宋简体" w:hAnsi="方正小标宋简体" w:eastAsia="方正小标宋简体" w:cs="方正小标宋简体"/>
          <w:sz w:val="24"/>
          <w:szCs w:val="24"/>
          <w:highlight w:val="none"/>
        </w:rPr>
      </w:pPr>
    </w:p>
    <w:p>
      <w:pPr>
        <w:numPr>
          <w:ilvl w:val="0"/>
          <w:numId w:val="6"/>
        </w:numPr>
        <w:spacing w:line="540" w:lineRule="exact"/>
        <w:ind w:left="0" w:leftChars="0" w:firstLine="420" w:firstLineChars="0"/>
        <w:rPr>
          <w:rFonts w:hint="eastAsia" w:ascii="方正小标宋简体" w:hAnsi="方正小标宋简体" w:eastAsia="方正小标宋简体" w:cs="方正小标宋简体"/>
          <w:sz w:val="24"/>
          <w:szCs w:val="24"/>
          <w:highlight w:val="none"/>
        </w:rPr>
      </w:pPr>
      <w:r>
        <w:rPr>
          <w:rFonts w:hint="eastAsia" w:ascii="宋体" w:hAnsi="宋体" w:eastAsia="宋体" w:cs="宋体"/>
          <w:sz w:val="24"/>
          <w:szCs w:val="24"/>
          <w:highlight w:val="none"/>
        </w:rPr>
        <w:t>★</w:t>
      </w:r>
      <w:r>
        <w:rPr>
          <w:rFonts w:hint="eastAsia" w:ascii="方正小标宋简体" w:hAnsi="方正小标宋简体" w:eastAsia="方正小标宋简体" w:cs="方正小标宋简体"/>
          <w:sz w:val="24"/>
          <w:szCs w:val="24"/>
          <w:highlight w:val="none"/>
          <w:lang w:eastAsia="zh-CN"/>
        </w:rPr>
        <w:t>采购</w:t>
      </w:r>
      <w:r>
        <w:rPr>
          <w:rFonts w:hint="eastAsia" w:ascii="方正小标宋简体" w:hAnsi="方正小标宋简体" w:eastAsia="方正小标宋简体" w:cs="方正小标宋简体"/>
          <w:sz w:val="24"/>
          <w:szCs w:val="24"/>
          <w:highlight w:val="none"/>
        </w:rPr>
        <w:t>清单</w:t>
      </w:r>
      <w:r>
        <w:rPr>
          <w:rFonts w:hint="eastAsia" w:ascii="方正小标宋简体" w:hAnsi="方正小标宋简体" w:eastAsia="方正小标宋简体" w:cs="方正小标宋简体"/>
          <w:sz w:val="24"/>
          <w:szCs w:val="24"/>
          <w:highlight w:val="none"/>
          <w:lang w:eastAsia="zh-CN"/>
        </w:rPr>
        <w:t>（</w:t>
      </w:r>
      <w:r>
        <w:rPr>
          <w:rFonts w:hint="eastAsia" w:ascii="方正小标宋简体" w:hAnsi="方正小标宋简体" w:eastAsia="方正小标宋简体" w:cs="方正小标宋简体"/>
          <w:sz w:val="24"/>
          <w:szCs w:val="24"/>
          <w:highlight w:val="none"/>
        </w:rPr>
        <w:t>仅供参考</w:t>
      </w:r>
      <w:r>
        <w:rPr>
          <w:rFonts w:hint="eastAsia" w:ascii="方正小标宋简体" w:hAnsi="方正小标宋简体" w:eastAsia="方正小标宋简体" w:cs="方正小标宋简体"/>
          <w:sz w:val="24"/>
          <w:szCs w:val="24"/>
          <w:highlight w:val="none"/>
          <w:lang w:eastAsia="zh-CN"/>
        </w:rPr>
        <w:t>）</w:t>
      </w:r>
    </w:p>
    <w:p>
      <w:pPr>
        <w:pStyle w:val="17"/>
        <w:numPr>
          <w:ilvl w:val="0"/>
          <w:numId w:val="7"/>
        </w:numPr>
        <w:ind w:left="0" w:leftChars="0" w:firstLine="480" w:firstLineChars="200"/>
        <w:rPr>
          <w:rFonts w:hint="default"/>
          <w:lang w:val="en-US"/>
        </w:rPr>
      </w:pPr>
      <w:r>
        <w:rPr>
          <w:rFonts w:hint="eastAsia" w:ascii="方正小标宋简体" w:hAnsi="方正小标宋简体" w:eastAsia="方正小标宋简体" w:cs="方正小标宋简体"/>
          <w:sz w:val="24"/>
          <w:szCs w:val="24"/>
          <w:highlight w:val="none"/>
          <w:lang w:val="en-US" w:eastAsia="zh-CN"/>
        </w:rPr>
        <w:t>固定式排烟机</w:t>
      </w:r>
    </w:p>
    <w:tbl>
      <w:tblPr>
        <w:tblStyle w:val="13"/>
        <w:tblW w:w="7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532"/>
        <w:gridCol w:w="159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shd w:val="clear" w:color="000000" w:fill="BFBFBF"/>
            <w:vAlign w:val="center"/>
          </w:tcPr>
          <w:p>
            <w:pPr>
              <w:widowControl/>
              <w:spacing w:line="360" w:lineRule="auto"/>
              <w:jc w:val="center"/>
              <w:rPr>
                <w:rFonts w:ascii="宋体" w:hAnsi="宋体" w:eastAsia="宋体" w:cs="宋体"/>
                <w:b/>
                <w:bCs/>
                <w:kern w:val="0"/>
                <w:sz w:val="24"/>
                <w:highlight w:val="none"/>
              </w:rPr>
            </w:pPr>
            <w:r>
              <w:rPr>
                <w:rFonts w:hint="eastAsia" w:ascii="宋体" w:hAnsi="宋体" w:eastAsia="宋体" w:cs="宋体"/>
                <w:b/>
                <w:bCs/>
                <w:kern w:val="0"/>
                <w:sz w:val="24"/>
                <w:highlight w:val="none"/>
              </w:rPr>
              <w:t>序号</w:t>
            </w:r>
          </w:p>
        </w:tc>
        <w:tc>
          <w:tcPr>
            <w:tcW w:w="3532" w:type="dxa"/>
            <w:shd w:val="clear" w:color="000000" w:fill="BFBFBF"/>
            <w:vAlign w:val="center"/>
          </w:tcPr>
          <w:p>
            <w:pPr>
              <w:widowControl/>
              <w:spacing w:line="360" w:lineRule="auto"/>
              <w:jc w:val="center"/>
              <w:rPr>
                <w:rFonts w:ascii="宋体" w:hAnsi="宋体" w:eastAsia="宋体" w:cs="宋体"/>
                <w:b/>
                <w:bCs/>
                <w:kern w:val="0"/>
                <w:sz w:val="24"/>
                <w:highlight w:val="none"/>
              </w:rPr>
            </w:pPr>
            <w:r>
              <w:rPr>
                <w:rFonts w:hint="eastAsia" w:ascii="宋体" w:hAnsi="宋体" w:eastAsia="宋体" w:cs="宋体"/>
                <w:b/>
                <w:bCs/>
                <w:kern w:val="0"/>
                <w:sz w:val="24"/>
                <w:highlight w:val="none"/>
              </w:rPr>
              <w:t>货物名称</w:t>
            </w:r>
          </w:p>
        </w:tc>
        <w:tc>
          <w:tcPr>
            <w:tcW w:w="1595" w:type="dxa"/>
            <w:shd w:val="clear" w:color="000000" w:fill="BFBFBF"/>
            <w:vAlign w:val="center"/>
          </w:tcPr>
          <w:p>
            <w:pPr>
              <w:widowControl/>
              <w:spacing w:line="360" w:lineRule="auto"/>
              <w:jc w:val="center"/>
              <w:rPr>
                <w:rFonts w:ascii="宋体" w:hAnsi="宋体" w:eastAsia="宋体" w:cs="宋体"/>
                <w:b/>
                <w:bCs/>
                <w:kern w:val="0"/>
                <w:sz w:val="24"/>
                <w:highlight w:val="none"/>
              </w:rPr>
            </w:pPr>
            <w:r>
              <w:rPr>
                <w:rFonts w:hint="eastAsia" w:ascii="宋体" w:hAnsi="宋体" w:eastAsia="宋体" w:cs="宋体"/>
                <w:b/>
                <w:bCs/>
                <w:kern w:val="0"/>
                <w:sz w:val="24"/>
                <w:highlight w:val="none"/>
              </w:rPr>
              <w:t>单位</w:t>
            </w:r>
          </w:p>
        </w:tc>
        <w:tc>
          <w:tcPr>
            <w:tcW w:w="1332" w:type="dxa"/>
            <w:shd w:val="clear" w:color="000000" w:fill="BFBFBF"/>
            <w:vAlign w:val="center"/>
          </w:tcPr>
          <w:p>
            <w:pPr>
              <w:widowControl/>
              <w:spacing w:line="360" w:lineRule="auto"/>
              <w:jc w:val="center"/>
              <w:rPr>
                <w:rFonts w:hint="default" w:ascii="宋体" w:hAnsi="宋体" w:eastAsia="宋体" w:cs="宋体"/>
                <w:b/>
                <w:bCs/>
                <w:kern w:val="0"/>
                <w:sz w:val="24"/>
                <w:highlight w:val="none"/>
                <w:lang w:val="en-US" w:eastAsia="zh-CN"/>
              </w:rPr>
            </w:pPr>
            <w:r>
              <w:rPr>
                <w:rFonts w:hint="eastAsia" w:ascii="宋体" w:hAnsi="宋体" w:eastAsia="宋体" w:cs="宋体"/>
                <w:b/>
                <w:bCs/>
                <w:kern w:val="0"/>
                <w:sz w:val="24"/>
                <w:highlight w:val="no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ascii="宋体" w:hAnsi="宋体" w:eastAsia="宋体" w:cs="宋体"/>
                <w:kern w:val="0"/>
                <w:sz w:val="24"/>
                <w:highlight w:val="none"/>
              </w:rPr>
            </w:pPr>
            <w:r>
              <w:rPr>
                <w:rFonts w:hint="eastAsia" w:ascii="宋体" w:hAnsi="宋体" w:eastAsia="宋体" w:cs="宋体"/>
                <w:kern w:val="0"/>
                <w:sz w:val="24"/>
                <w:highlight w:val="none"/>
              </w:rPr>
              <w:t>1</w:t>
            </w:r>
          </w:p>
        </w:tc>
        <w:tc>
          <w:tcPr>
            <w:tcW w:w="3532" w:type="dxa"/>
            <w:vAlign w:val="center"/>
          </w:tcPr>
          <w:p>
            <w:pPr>
              <w:widowControl/>
              <w:spacing w:line="360" w:lineRule="auto"/>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管道排烟风机</w:t>
            </w:r>
          </w:p>
        </w:tc>
        <w:tc>
          <w:tcPr>
            <w:tcW w:w="1595"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台</w:t>
            </w:r>
          </w:p>
        </w:tc>
        <w:tc>
          <w:tcPr>
            <w:tcW w:w="1332" w:type="dxa"/>
            <w:vAlign w:val="center"/>
          </w:tcPr>
          <w:p>
            <w:pPr>
              <w:widowControl/>
              <w:spacing w:line="360" w:lineRule="auto"/>
              <w:jc w:val="center"/>
              <w:rPr>
                <w:rFonts w:hint="default" w:ascii="宋体" w:hAnsi="宋体" w:eastAsia="宋体" w:cs="宋体"/>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2</w:t>
            </w:r>
          </w:p>
        </w:tc>
        <w:tc>
          <w:tcPr>
            <w:tcW w:w="3532" w:type="dxa"/>
            <w:vAlign w:val="center"/>
          </w:tcPr>
          <w:p>
            <w:pPr>
              <w:widowControl/>
              <w:spacing w:line="360" w:lineRule="auto"/>
              <w:jc w:val="center"/>
              <w:rPr>
                <w:rFonts w:hint="default" w:asciiTheme="minorEastAsia" w:hAnsiTheme="minorEastAsia" w:eastAsiaTheme="minorEastAsia" w:cstheme="minorEastAsia"/>
                <w:kern w:val="0"/>
                <w:sz w:val="24"/>
                <w:szCs w:val="24"/>
                <w:highlight w:val="none"/>
                <w:lang w:val="en-US"/>
              </w:rPr>
            </w:pPr>
            <w:r>
              <w:rPr>
                <w:rFonts w:hint="eastAsia" w:asciiTheme="minorEastAsia" w:hAnsiTheme="minorEastAsia" w:cstheme="minorEastAsia"/>
                <w:kern w:val="0"/>
                <w:sz w:val="24"/>
                <w:szCs w:val="24"/>
                <w:highlight w:val="none"/>
                <w:lang w:val="en-US" w:eastAsia="zh-CN"/>
              </w:rPr>
              <w:t>1床位滑轨式排烟系统</w:t>
            </w:r>
          </w:p>
        </w:tc>
        <w:tc>
          <w:tcPr>
            <w:tcW w:w="1595" w:type="dxa"/>
            <w:vAlign w:val="center"/>
          </w:tcPr>
          <w:p>
            <w:pPr>
              <w:widowControl/>
              <w:spacing w:line="360" w:lineRule="auto"/>
              <w:jc w:val="center"/>
              <w:rPr>
                <w:rFonts w:ascii="宋体" w:hAnsi="宋体" w:eastAsia="宋体" w:cs="宋体"/>
                <w:kern w:val="0"/>
                <w:sz w:val="24"/>
                <w:highlight w:val="none"/>
              </w:rPr>
            </w:pPr>
            <w:r>
              <w:rPr>
                <w:rFonts w:hint="eastAsia" w:ascii="宋体" w:hAnsi="宋体" w:eastAsia="宋体" w:cs="宋体"/>
                <w:kern w:val="0"/>
                <w:sz w:val="24"/>
                <w:highlight w:val="none"/>
                <w:lang w:val="en-US" w:eastAsia="zh-CN"/>
              </w:rPr>
              <w:t>套</w:t>
            </w:r>
          </w:p>
        </w:tc>
        <w:tc>
          <w:tcPr>
            <w:tcW w:w="1332" w:type="dxa"/>
            <w:vAlign w:val="center"/>
          </w:tcPr>
          <w:p>
            <w:pPr>
              <w:widowControl/>
              <w:spacing w:line="360" w:lineRule="auto"/>
              <w:jc w:val="center"/>
              <w:rPr>
                <w:rFonts w:hint="default" w:ascii="宋体" w:hAnsi="宋体" w:eastAsia="宋体" w:cs="宋体"/>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3</w:t>
            </w:r>
          </w:p>
        </w:tc>
        <w:tc>
          <w:tcPr>
            <w:tcW w:w="353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PVC排烟管</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米</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4</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PVC排烟管三通</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5</w:t>
            </w:r>
          </w:p>
        </w:tc>
        <w:tc>
          <w:tcPr>
            <w:tcW w:w="353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PVC排烟管直通</w:t>
            </w:r>
          </w:p>
        </w:tc>
        <w:tc>
          <w:tcPr>
            <w:tcW w:w="1595"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6</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PVC排烟弯头</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7</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PVC通风帽</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8</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铝箔管</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米</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9</w:t>
            </w:r>
          </w:p>
        </w:tc>
        <w:tc>
          <w:tcPr>
            <w:tcW w:w="353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软铝管接头</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宋体" w:hAnsi="宋体" w:eastAsia="宋体" w:cs="宋体"/>
                <w:kern w:val="0"/>
                <w:sz w:val="24"/>
                <w:highlight w:val="none"/>
                <w:lang w:val="en-US" w:eastAsia="zh-CN"/>
              </w:rPr>
              <w:t>个</w:t>
            </w:r>
          </w:p>
        </w:tc>
        <w:tc>
          <w:tcPr>
            <w:tcW w:w="1332" w:type="dxa"/>
            <w:vAlign w:val="center"/>
          </w:tcPr>
          <w:p>
            <w:pPr>
              <w:widowControl/>
              <w:spacing w:line="360" w:lineRule="auto"/>
              <w:jc w:val="center"/>
              <w:rPr>
                <w:rFonts w:hint="default" w:ascii="宋体" w:hAnsi="宋体" w:eastAsia="宋体" w:cs="宋体"/>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10</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止回阀</w:t>
            </w:r>
          </w:p>
        </w:tc>
        <w:tc>
          <w:tcPr>
            <w:tcW w:w="1595" w:type="dxa"/>
            <w:vAlign w:val="center"/>
          </w:tcPr>
          <w:p>
            <w:pPr>
              <w:widowControl/>
              <w:spacing w:line="360" w:lineRule="auto"/>
              <w:jc w:val="center"/>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个</w:t>
            </w:r>
          </w:p>
        </w:tc>
        <w:tc>
          <w:tcPr>
            <w:tcW w:w="1332" w:type="dxa"/>
            <w:vAlign w:val="center"/>
          </w:tcPr>
          <w:p>
            <w:pPr>
              <w:widowControl/>
              <w:spacing w:line="360" w:lineRule="auto"/>
              <w:jc w:val="center"/>
              <w:rPr>
                <w:rFonts w:hint="default" w:ascii="宋体" w:hAnsi="宋体" w:eastAsia="宋体" w:cs="宋体"/>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11</w:t>
            </w:r>
          </w:p>
        </w:tc>
        <w:tc>
          <w:tcPr>
            <w:tcW w:w="35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墙面开孔</w:t>
            </w:r>
          </w:p>
        </w:tc>
        <w:tc>
          <w:tcPr>
            <w:tcW w:w="1595"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90"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12</w:t>
            </w:r>
          </w:p>
        </w:tc>
        <w:tc>
          <w:tcPr>
            <w:tcW w:w="353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玻璃开孔</w:t>
            </w:r>
          </w:p>
        </w:tc>
        <w:tc>
          <w:tcPr>
            <w:tcW w:w="1595"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3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bl>
    <w:p>
      <w:pPr>
        <w:pStyle w:val="17"/>
        <w:numPr>
          <w:ilvl w:val="0"/>
          <w:numId w:val="7"/>
        </w:numPr>
        <w:ind w:left="0" w:leftChars="0" w:firstLine="480" w:firstLineChars="200"/>
        <w:rPr>
          <w:rFonts w:hint="eastAsia" w:ascii="方正小标宋简体" w:hAnsi="方正小标宋简体" w:eastAsia="方正小标宋简体" w:cs="方正小标宋简体"/>
          <w:sz w:val="24"/>
          <w:szCs w:val="24"/>
          <w:highlight w:val="none"/>
          <w:lang w:val="en-US" w:eastAsia="zh-CN"/>
        </w:rPr>
      </w:pPr>
      <w:r>
        <w:rPr>
          <w:rFonts w:hint="eastAsia" w:ascii="方正小标宋简体" w:hAnsi="方正小标宋简体" w:eastAsia="方正小标宋简体" w:cs="方正小标宋简体"/>
          <w:sz w:val="24"/>
          <w:szCs w:val="24"/>
          <w:highlight w:val="none"/>
          <w:lang w:val="en-US" w:eastAsia="zh-CN"/>
        </w:rPr>
        <w:t>移动式排烟净化机</w:t>
      </w:r>
    </w:p>
    <w:tbl>
      <w:tblPr>
        <w:tblStyle w:val="13"/>
        <w:tblW w:w="7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567"/>
        <w:gridCol w:w="1622"/>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w:t>
            </w:r>
          </w:p>
        </w:tc>
        <w:tc>
          <w:tcPr>
            <w:tcW w:w="3567" w:type="dxa"/>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cstheme="minorEastAsia"/>
                <w:kern w:val="0"/>
                <w:sz w:val="24"/>
                <w:szCs w:val="24"/>
                <w:highlight w:val="none"/>
                <w:lang w:val="en-US" w:eastAsia="zh-CN"/>
              </w:rPr>
              <w:t>单头移动式烟雾净化器</w:t>
            </w:r>
          </w:p>
        </w:tc>
        <w:tc>
          <w:tcPr>
            <w:tcW w:w="1622" w:type="dxa"/>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cstheme="minorEastAsia"/>
                <w:kern w:val="0"/>
                <w:sz w:val="24"/>
                <w:szCs w:val="24"/>
                <w:highlight w:val="none"/>
                <w:lang w:val="en-US" w:eastAsia="zh-CN"/>
              </w:rPr>
              <w:t>台</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w:t>
            </w:r>
          </w:p>
        </w:tc>
        <w:tc>
          <w:tcPr>
            <w:tcW w:w="3567" w:type="dxa"/>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cstheme="minorEastAsia"/>
                <w:kern w:val="0"/>
                <w:sz w:val="24"/>
                <w:szCs w:val="24"/>
                <w:highlight w:val="none"/>
                <w:lang w:val="en-US" w:eastAsia="zh-CN"/>
              </w:rPr>
              <w:t>双头移动式烟雾净化器</w:t>
            </w:r>
          </w:p>
        </w:tc>
        <w:tc>
          <w:tcPr>
            <w:tcW w:w="1622" w:type="dxa"/>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cstheme="minorEastAsia"/>
                <w:kern w:val="0"/>
                <w:sz w:val="24"/>
                <w:szCs w:val="24"/>
                <w:highlight w:val="none"/>
                <w:lang w:val="en-US" w:eastAsia="zh-CN"/>
              </w:rPr>
              <w:t>台</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3</w:t>
            </w:r>
          </w:p>
        </w:tc>
        <w:tc>
          <w:tcPr>
            <w:tcW w:w="3567"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净化器水洗过滤棉</w:t>
            </w:r>
          </w:p>
        </w:tc>
        <w:tc>
          <w:tcPr>
            <w:tcW w:w="1622"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4</w:t>
            </w:r>
          </w:p>
        </w:tc>
        <w:tc>
          <w:tcPr>
            <w:tcW w:w="3567"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净化器初效过滤器</w:t>
            </w:r>
          </w:p>
        </w:tc>
        <w:tc>
          <w:tcPr>
            <w:tcW w:w="162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w:t>
            </w:r>
          </w:p>
        </w:tc>
        <w:tc>
          <w:tcPr>
            <w:tcW w:w="3567"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净化器中效过滤器</w:t>
            </w:r>
          </w:p>
        </w:tc>
        <w:tc>
          <w:tcPr>
            <w:tcW w:w="162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60" w:type="dxa"/>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6</w:t>
            </w:r>
          </w:p>
        </w:tc>
        <w:tc>
          <w:tcPr>
            <w:tcW w:w="3567"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净化器高效过滤器</w:t>
            </w:r>
          </w:p>
        </w:tc>
        <w:tc>
          <w:tcPr>
            <w:tcW w:w="1622" w:type="dxa"/>
            <w:vAlign w:val="center"/>
          </w:tcPr>
          <w:p>
            <w:pPr>
              <w:widowControl/>
              <w:spacing w:line="360" w:lineRule="auto"/>
              <w:jc w:val="center"/>
              <w:rPr>
                <w:rFonts w:hint="eastAsia"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lang w:val="en-US" w:eastAsia="zh-CN"/>
              </w:rPr>
              <w:t>个</w:t>
            </w:r>
          </w:p>
        </w:tc>
        <w:tc>
          <w:tcPr>
            <w:tcW w:w="1363" w:type="dxa"/>
            <w:vAlign w:val="center"/>
          </w:tcPr>
          <w:p>
            <w:pPr>
              <w:widowControl/>
              <w:spacing w:line="360" w:lineRule="auto"/>
              <w:jc w:val="center"/>
              <w:rPr>
                <w:rFonts w:hint="default" w:asciiTheme="minorEastAsia" w:hAnsiTheme="minorEastAsia" w:cstheme="minorEastAsia"/>
                <w:kern w:val="0"/>
                <w:sz w:val="24"/>
                <w:szCs w:val="24"/>
                <w:highlight w:val="none"/>
                <w:lang w:val="en-US" w:eastAsia="zh-CN"/>
              </w:rPr>
            </w:pPr>
          </w:p>
        </w:tc>
      </w:tr>
    </w:tbl>
    <w:p>
      <w:pPr>
        <w:rPr>
          <w:rFonts w:hint="eastAsia"/>
          <w:lang w:val="en-US" w:eastAsia="zh-CN"/>
        </w:rPr>
      </w:pPr>
    </w:p>
    <w:p>
      <w:pPr>
        <w:pStyle w:val="6"/>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本项目核心产品为：</w:t>
      </w:r>
      <w:r>
        <w:rPr>
          <w:rFonts w:hint="eastAsia" w:ascii="宋体" w:hAnsi="宋体" w:eastAsia="宋体" w:cs="宋体"/>
          <w:b/>
          <w:bCs/>
          <w:sz w:val="24"/>
          <w:szCs w:val="24"/>
          <w:highlight w:val="none"/>
          <w:lang w:val="en-US" w:eastAsia="zh-CN"/>
        </w:rPr>
        <w:t>艾灸排烟机</w:t>
      </w:r>
    </w:p>
    <w:p>
      <w:pPr>
        <w:rPr>
          <w:rFonts w:hint="eastAsia" w:ascii="宋体" w:hAnsi="宋体" w:eastAsia="宋体" w:cs="宋体"/>
          <w:sz w:val="24"/>
          <w:szCs w:val="24"/>
          <w:highlight w:val="none"/>
        </w:rPr>
      </w:pPr>
    </w:p>
    <w:p>
      <w:pPr>
        <w:numPr>
          <w:ilvl w:val="0"/>
          <w:numId w:val="6"/>
        </w:numPr>
        <w:ind w:left="0" w:leftChars="0" w:firstLine="420" w:firstLineChars="0"/>
        <w:rPr>
          <w:rFonts w:hint="eastAsia" w:ascii="方正小标宋简体" w:hAnsi="方正小标宋简体" w:eastAsia="方正小标宋简体" w:cs="方正小标宋简体"/>
          <w:b w:val="0"/>
          <w:bCs w:val="0"/>
          <w:kern w:val="2"/>
          <w:sz w:val="24"/>
          <w:szCs w:val="24"/>
          <w:highlight w:val="none"/>
          <w:lang w:val="en-US" w:eastAsia="zh-CN" w:bidi="ar-SA"/>
        </w:rPr>
      </w:pPr>
      <w:r>
        <w:rPr>
          <w:rFonts w:hint="eastAsia" w:ascii="方正小标宋简体" w:hAnsi="方正小标宋简体" w:eastAsia="方正小标宋简体" w:cs="方正小标宋简体"/>
          <w:b w:val="0"/>
          <w:bCs w:val="0"/>
          <w:kern w:val="2"/>
          <w:sz w:val="24"/>
          <w:szCs w:val="24"/>
          <w:highlight w:val="none"/>
          <w:lang w:val="en-US" w:eastAsia="zh-CN" w:bidi="ar-SA"/>
        </w:rPr>
        <w:t>技术要求（仅供参考）</w:t>
      </w:r>
    </w:p>
    <w:tbl>
      <w:tblPr>
        <w:tblStyle w:val="13"/>
        <w:tblpPr w:leftFromText="180" w:rightFromText="180" w:vertAnchor="text" w:horzAnchor="page" w:tblpX="1338" w:tblpY="155"/>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305"/>
        <w:gridCol w:w="3617"/>
        <w:gridCol w:w="814"/>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6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序号</w:t>
            </w:r>
          </w:p>
        </w:tc>
        <w:tc>
          <w:tcPr>
            <w:tcW w:w="2305"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货物名称</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技术要求</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highlight w:val="none"/>
              </w:rPr>
            </w:pPr>
            <w:r>
              <w:rPr>
                <w:rFonts w:hint="eastAsia" w:asciiTheme="minorEastAsia" w:hAnsiTheme="minorEastAsia" w:eastAsiaTheme="minorEastAsia" w:cstheme="minorEastAsia"/>
                <w:b/>
                <w:bCs/>
                <w:kern w:val="0"/>
                <w:sz w:val="24"/>
                <w:szCs w:val="24"/>
                <w:highlight w:val="none"/>
              </w:rPr>
              <w:t>标注</w:t>
            </w: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highlight w:val="none"/>
                <w:lang w:eastAsia="zh-CN"/>
              </w:rPr>
            </w:pPr>
            <w:r>
              <w:rPr>
                <w:rFonts w:hint="eastAsia" w:asciiTheme="minorEastAsia" w:hAnsiTheme="minorEastAsia" w:eastAsiaTheme="minorEastAsia" w:cstheme="minorEastAsia"/>
                <w:b/>
                <w:bCs/>
                <w:kern w:val="0"/>
                <w:sz w:val="24"/>
                <w:szCs w:val="24"/>
                <w:highlight w:val="none"/>
                <w:lang w:eastAsia="zh-CN"/>
              </w:rPr>
              <w:t>其它说明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6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w:t>
            </w:r>
          </w:p>
        </w:tc>
        <w:tc>
          <w:tcPr>
            <w:tcW w:w="2305"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管道排烟风机</w:t>
            </w:r>
          </w:p>
        </w:tc>
        <w:tc>
          <w:tcPr>
            <w:tcW w:w="3617" w:type="dxa"/>
            <w:tcBorders>
              <w:tl2br w:val="nil"/>
              <w:tr2bl w:val="nil"/>
            </w:tcBorders>
            <w:shd w:val="clear" w:color="auto" w:fill="auto"/>
            <w:vAlign w:val="center"/>
          </w:tcPr>
          <w:p>
            <w:pPr>
              <w:pStyle w:val="17"/>
              <w:numPr>
                <w:ilvl w:val="0"/>
                <w:numId w:val="8"/>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风量≥400m3/h</w:t>
            </w:r>
          </w:p>
          <w:p>
            <w:pPr>
              <w:pStyle w:val="17"/>
              <w:numPr>
                <w:ilvl w:val="0"/>
                <w:numId w:val="8"/>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电源：220V</w:t>
            </w:r>
          </w:p>
          <w:p>
            <w:pPr>
              <w:pStyle w:val="17"/>
              <w:numPr>
                <w:ilvl w:val="0"/>
                <w:numId w:val="8"/>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室内噪音：≤50 dB</w:t>
            </w:r>
          </w:p>
          <w:p>
            <w:pPr>
              <w:pStyle w:val="17"/>
              <w:numPr>
                <w:ilvl w:val="0"/>
                <w:numId w:val="8"/>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有线控制，</w:t>
            </w:r>
            <w:r>
              <w:rPr>
                <w:rFonts w:hint="eastAsia" w:asciiTheme="minorEastAsia" w:hAnsiTheme="minorEastAsia" w:cstheme="minorEastAsia"/>
                <w:color w:val="auto"/>
                <w:sz w:val="24"/>
                <w:szCs w:val="24"/>
                <w:highlight w:val="none"/>
                <w:lang w:val="en-US" w:eastAsia="zh-CN"/>
              </w:rPr>
              <w:t>多</w:t>
            </w:r>
            <w:r>
              <w:rPr>
                <w:rFonts w:hint="eastAsia" w:asciiTheme="minorEastAsia" w:hAnsiTheme="minorEastAsia" w:eastAsiaTheme="minorEastAsia" w:cstheme="minorEastAsia"/>
                <w:color w:val="auto"/>
                <w:sz w:val="24"/>
                <w:szCs w:val="24"/>
                <w:highlight w:val="none"/>
                <w:lang w:val="en-US" w:eastAsia="zh-CN"/>
              </w:rPr>
              <w:t>档调速</w:t>
            </w:r>
          </w:p>
          <w:p>
            <w:pPr>
              <w:pStyle w:val="17"/>
              <w:numPr>
                <w:ilvl w:val="0"/>
                <w:numId w:val="8"/>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安装便捷，可拆卸，可清洗</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w:t>
            </w: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76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w:t>
            </w:r>
          </w:p>
        </w:tc>
        <w:tc>
          <w:tcPr>
            <w:tcW w:w="2305"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1床位滑轨式排烟系统</w:t>
            </w:r>
          </w:p>
        </w:tc>
        <w:tc>
          <w:tcPr>
            <w:tcW w:w="3617" w:type="dxa"/>
            <w:tcBorders>
              <w:tl2br w:val="nil"/>
              <w:tr2bl w:val="nil"/>
            </w:tcBorders>
            <w:shd w:val="clear" w:color="auto" w:fill="auto"/>
            <w:vAlign w:val="center"/>
          </w:tcPr>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含导轨、钢丝、升降器、知艾者箱体、开关阀门</w:t>
            </w:r>
          </w:p>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导轨：</w:t>
            </w:r>
            <w:r>
              <w:rPr>
                <w:rFonts w:hint="eastAsia" w:asciiTheme="minorEastAsia" w:hAnsiTheme="minorEastAsia" w:eastAsiaTheme="minorEastAsia" w:cstheme="minorEastAsia"/>
                <w:color w:val="000000"/>
                <w:kern w:val="0"/>
                <w:sz w:val="24"/>
                <w:szCs w:val="24"/>
                <w:highlight w:val="none"/>
              </w:rPr>
              <w:t>超静音纳米铝合金</w:t>
            </w:r>
            <w:r>
              <w:rPr>
                <w:rFonts w:hint="eastAsia" w:asciiTheme="minorEastAsia" w:hAnsiTheme="minorEastAsia" w:eastAsiaTheme="minorEastAsia" w:cstheme="minorEastAsia"/>
                <w:color w:val="000000"/>
                <w:kern w:val="0"/>
                <w:sz w:val="24"/>
                <w:szCs w:val="24"/>
                <w:highlight w:val="none"/>
                <w:lang w:eastAsia="zh-CN"/>
              </w:rPr>
              <w:t>，</w:t>
            </w:r>
            <w:r>
              <w:rPr>
                <w:rFonts w:hint="eastAsia" w:asciiTheme="minorEastAsia" w:hAnsiTheme="minorEastAsia" w:eastAsiaTheme="minorEastAsia" w:cstheme="minorEastAsia"/>
                <w:color w:val="000000"/>
                <w:kern w:val="0"/>
                <w:sz w:val="24"/>
                <w:szCs w:val="24"/>
                <w:highlight w:val="none"/>
                <w:lang w:val="en-US" w:eastAsia="zh-CN"/>
              </w:rPr>
              <w:t>双滑轮组</w:t>
            </w:r>
          </w:p>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钢丝：304不锈钢钢丝，可拉伸至2.5m</w:t>
            </w:r>
          </w:p>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升降器：自由伸缩设计，</w:t>
            </w:r>
          </w:p>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知艾者箱体：金属雕花工艺</w:t>
            </w:r>
          </w:p>
          <w:p>
            <w:pPr>
              <w:widowControl/>
              <w:numPr>
                <w:ilvl w:val="0"/>
                <w:numId w:val="9"/>
              </w:numPr>
              <w:spacing w:line="240" w:lineRule="auto"/>
              <w:ind w:left="425" w:leftChars="0" w:hanging="425" w:firstLineChars="0"/>
              <w:jc w:val="both"/>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开关阀门：调节阀。</w:t>
            </w:r>
          </w:p>
          <w:p>
            <w:pPr>
              <w:pStyle w:val="17"/>
              <w:numPr>
                <w:ilvl w:val="0"/>
                <w:numId w:val="9"/>
              </w:numPr>
              <w:spacing w:line="240" w:lineRule="auto"/>
              <w:ind w:left="425" w:leftChars="0" w:hanging="425"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配备三种型号吸烟罩可供选择</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w:t>
            </w: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PVC排烟管</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160mmPVC管</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PVC排烟三通</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160-110mmPVC管</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5</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PVC排烟管直通</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160mmPVC管</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6</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PVC排烟弯头</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160mmPVC管</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7</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PVC通风帽</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160mmPVC管</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8</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铝箔管</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9</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软铝管接头</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10</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上回阀</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160mm，耐高温，抗老化，防油污，蝶形仿生阀片，侧面可视</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11</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墙面开孔</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开孔尺寸160mm</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12</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玻璃开孔</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开孔尺寸160mm</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13</w:t>
            </w:r>
          </w:p>
        </w:tc>
        <w:tc>
          <w:tcPr>
            <w:tcW w:w="2305"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单头移动式烟雾净化器</w:t>
            </w:r>
          </w:p>
        </w:tc>
        <w:tc>
          <w:tcPr>
            <w:tcW w:w="3617" w:type="dxa"/>
            <w:tcBorders>
              <w:tl2br w:val="nil"/>
              <w:tr2bl w:val="nil"/>
            </w:tcBorders>
            <w:shd w:val="clear" w:color="auto" w:fill="auto"/>
            <w:vAlign w:val="center"/>
          </w:tcPr>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铝合金臂+大方罩单头</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电源：220V</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功率≥100W</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风量≥400m3/h</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室内噪音：≤50 dB</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内循环净化</w:t>
            </w:r>
          </w:p>
          <w:p>
            <w:pPr>
              <w:pStyle w:val="17"/>
              <w:numPr>
                <w:ilvl w:val="0"/>
                <w:numId w:val="10"/>
              </w:numPr>
              <w:spacing w:line="240" w:lineRule="auto"/>
              <w:ind w:left="425" w:leftChars="0" w:hanging="425" w:firstLineChars="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配备三种型号吸烟罩可供选择</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w:t>
            </w: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14</w:t>
            </w:r>
          </w:p>
        </w:tc>
        <w:tc>
          <w:tcPr>
            <w:tcW w:w="2305"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双头移动式烟雾净化器</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铝合金臂+大方罩双头</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w:t>
            </w: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15</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水洗过滤棉</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配套烟雾净化器使用</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16</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初效过滤器</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配套烟雾净化器使用</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17</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中效过滤器</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配套烟雾净化器使用</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64" w:type="dxa"/>
            <w:tcBorders>
              <w:tl2br w:val="nil"/>
              <w:tr2bl w:val="nil"/>
            </w:tcBorders>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18</w:t>
            </w:r>
          </w:p>
        </w:tc>
        <w:tc>
          <w:tcPr>
            <w:tcW w:w="2305" w:type="dxa"/>
            <w:tcBorders>
              <w:tl2br w:val="nil"/>
              <w:tr2bl w:val="nil"/>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0"/>
                <w:sz w:val="24"/>
                <w:szCs w:val="24"/>
                <w:highlight w:val="none"/>
                <w:lang w:val="en-US" w:eastAsia="zh-CN"/>
              </w:rPr>
              <w:t>高效过滤器</w:t>
            </w:r>
          </w:p>
        </w:tc>
        <w:tc>
          <w:tcPr>
            <w:tcW w:w="3617"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配套烟雾净化器使用</w:t>
            </w:r>
          </w:p>
        </w:tc>
        <w:tc>
          <w:tcPr>
            <w:tcW w:w="81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c>
          <w:tcPr>
            <w:tcW w:w="1561"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p>
        </w:tc>
      </w:tr>
    </w:tbl>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指引：</w:t>
      </w:r>
    </w:p>
    <w:p>
      <w:pPr>
        <w:numPr>
          <w:ilvl w:val="0"/>
          <w:numId w:val="11"/>
        </w:num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按采购清单所列的内容及顺序，逐项描述货物的技术；货物名称须与采购清单表中的名称相一致。</w:t>
      </w:r>
    </w:p>
    <w:p>
      <w:pPr>
        <w:numPr>
          <w:ilvl w:val="0"/>
          <w:numId w:val="11"/>
        </w:num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具体参数要求必须逐条描述并有编号。每项编号标识应为唯一的、不可重复的。评标时，每1条具体编号视为1条技术要求。特别说明：采购人不得设置多个技术性能指标堆砌在一起作为1条技术参数要求参与评审。</w:t>
      </w:r>
    </w:p>
    <w:p>
      <w:pPr>
        <w:numPr>
          <w:ilvl w:val="0"/>
          <w:numId w:val="11"/>
        </w:num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技术参数可分为核心技术参数要求（以</w:t>
      </w:r>
      <w:r>
        <w:rPr>
          <w:rFonts w:hint="eastAsia" w:ascii="宋体" w:hAnsi="宋体" w:cs="宋体"/>
          <w:szCs w:val="21"/>
          <w:highlight w:val="none"/>
        </w:rPr>
        <w:t>★</w:t>
      </w:r>
      <w:r>
        <w:rPr>
          <w:rFonts w:hint="eastAsia" w:ascii="Arial" w:hAnsi="Arial" w:cs="Arial"/>
          <w:b/>
          <w:bCs/>
          <w:color w:val="0000FF"/>
          <w:kern w:val="0"/>
          <w:sz w:val="18"/>
          <w:szCs w:val="18"/>
          <w:highlight w:val="none"/>
        </w:rPr>
        <w:t>号标注），重要技术参数要求（以</w:t>
      </w:r>
      <w:r>
        <w:rPr>
          <w:rFonts w:hint="eastAsia" w:ascii="宋体" w:hAnsi="宋体" w:cs="宋体"/>
          <w:szCs w:val="21"/>
          <w:highlight w:val="none"/>
        </w:rPr>
        <w:t>▲</w:t>
      </w:r>
      <w:r>
        <w:rPr>
          <w:rFonts w:hint="eastAsia" w:ascii="Arial" w:hAnsi="Arial" w:cs="Arial"/>
          <w:b/>
          <w:bCs/>
          <w:color w:val="0000FF"/>
          <w:kern w:val="0"/>
          <w:sz w:val="18"/>
          <w:szCs w:val="18"/>
          <w:highlight w:val="none"/>
        </w:rPr>
        <w:t>号标注）和一般技术参数要求。</w:t>
      </w:r>
    </w:p>
    <w:p>
      <w:pPr>
        <w:numPr>
          <w:ilvl w:val="0"/>
          <w:numId w:val="11"/>
        </w:num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核心技术要求（以</w:t>
      </w:r>
      <w:r>
        <w:rPr>
          <w:rFonts w:hint="eastAsia" w:ascii="宋体" w:hAnsi="宋体" w:cs="宋体"/>
          <w:szCs w:val="21"/>
          <w:highlight w:val="none"/>
        </w:rPr>
        <w:t>★</w:t>
      </w:r>
      <w:r>
        <w:rPr>
          <w:rFonts w:hint="eastAsia" w:ascii="Arial" w:hAnsi="Arial" w:cs="Arial"/>
          <w:b/>
          <w:bCs/>
          <w:color w:val="0000FF"/>
          <w:kern w:val="0"/>
          <w:sz w:val="18"/>
          <w:szCs w:val="18"/>
          <w:highlight w:val="none"/>
        </w:rPr>
        <w:t>号标注）为技术条款实质性要求不允许负偏离;否则，投标将被否决。其数量≤5条，且必须有不少于3个品牌满足。采购人必须书面承诺有不少于3家生产商（不同品牌产品）实质性满足，且须注明满足的产品品牌及具体型号</w:t>
      </w:r>
    </w:p>
    <w:p>
      <w:pPr>
        <w:numPr>
          <w:ilvl w:val="0"/>
          <w:numId w:val="11"/>
        </w:num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重要技术要求（以</w:t>
      </w:r>
      <w:r>
        <w:rPr>
          <w:rFonts w:hint="eastAsia" w:ascii="宋体" w:hAnsi="宋体" w:cs="宋体"/>
          <w:szCs w:val="21"/>
          <w:highlight w:val="none"/>
        </w:rPr>
        <w:t>▲</w:t>
      </w:r>
      <w:r>
        <w:rPr>
          <w:rFonts w:hint="eastAsia" w:ascii="Arial" w:hAnsi="Arial" w:cs="Arial"/>
          <w:b/>
          <w:bCs/>
          <w:color w:val="0000FF"/>
          <w:kern w:val="0"/>
          <w:sz w:val="18"/>
          <w:szCs w:val="18"/>
          <w:highlight w:val="none"/>
        </w:rPr>
        <w:t>号标注）数量≤全部技术要求的10%。</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6、技术要求描述须完整，明确。包括产品功能及对应的性能要求、规格；材质及相应物理性功能要求。表述须明了、规范，不能模棱两可。</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7、不得要求或标明特定品牌、商标、专利、版权、设计、型号、特定产地、特定供应商的服务等限制性条款。</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8、不得设置“知名”、“优质”“一线”、“同档次”、“市场认可度”等无法客观评审的表述。</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9、不得将非定制的采购标的关于重量、尺寸、体积等要求设定为固定值，应作出大于、小于、在一个范围区间等表示幅度的表述。</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10、不得要求提供指定某一级的检测机构、指定某一个检测机构、指定某一部门所属的检测机构（国家行政机构另有规定的除外）、指定检测日期的检测报告。</w:t>
      </w:r>
    </w:p>
    <w:p>
      <w:pPr>
        <w:ind w:left="145"/>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11、不得设置售后服务要求、原厂资质、原厂授权、加盖公章等与标的物的性能、规格、材质无关的条款要求。</w:t>
      </w:r>
    </w:p>
    <w:p>
      <w:pPr>
        <w:ind w:left="145"/>
        <w:rPr>
          <w:rFonts w:ascii="Arial" w:hAnsi="Arial" w:cs="Arial"/>
          <w:b/>
          <w:bCs/>
          <w:color w:val="0000FF"/>
          <w:kern w:val="0"/>
          <w:sz w:val="18"/>
          <w:szCs w:val="18"/>
          <w:highlight w:val="none"/>
        </w:rPr>
      </w:pPr>
    </w:p>
    <w:p>
      <w:pPr>
        <w:rPr>
          <w:rFonts w:ascii="Arial" w:hAnsi="Arial" w:cs="Arial"/>
          <w:b/>
          <w:bCs/>
          <w:color w:val="0000FF"/>
          <w:kern w:val="0"/>
          <w:sz w:val="18"/>
          <w:szCs w:val="18"/>
          <w:highlight w:val="none"/>
        </w:rPr>
      </w:pPr>
    </w:p>
    <w:p>
      <w:pPr>
        <w:rPr>
          <w:rFonts w:ascii="Arial" w:hAnsi="Arial" w:cs="Arial"/>
          <w:b/>
          <w:bCs/>
          <w:color w:val="0000FF"/>
          <w:kern w:val="0"/>
          <w:sz w:val="18"/>
          <w:szCs w:val="18"/>
          <w:highlight w:val="none"/>
        </w:rPr>
      </w:pPr>
      <w:r>
        <w:rPr>
          <w:rFonts w:hint="eastAsia" w:ascii="Arial" w:hAnsi="Arial" w:cs="Arial"/>
          <w:b/>
          <w:bCs/>
          <w:color w:val="0000FF"/>
          <w:kern w:val="0"/>
          <w:sz w:val="18"/>
          <w:szCs w:val="18"/>
          <w:highlight w:val="none"/>
        </w:rPr>
        <w:t>特别提醒：根据《2018年深圳蓝可持续行动工作计划的工作方案》相关要求，落实绿色发展配套政策，完善政府绿色采购，印刷类项目必须要求使用水性油墨、大豆油墨等低挥发性有机物含量油墨和胶粘剂。汽车维修保养类项目必须要求完成水性漆喷涂工艺改造。不符合相关技术规范要求的家具、非道路移动机械等产品不得参与政府公开采购。</w:t>
      </w:r>
    </w:p>
    <w:p>
      <w:pPr>
        <w:pStyle w:val="6"/>
        <w:rPr>
          <w:rFonts w:hint="eastAsia" w:ascii="宋体" w:hAnsi="宋体" w:eastAsia="宋体" w:cs="宋体"/>
          <w:sz w:val="24"/>
          <w:szCs w:val="24"/>
          <w:highlight w:val="none"/>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atLeast"/>
        <w:ind w:left="0" w:leftChars="0" w:firstLine="420" w:firstLineChars="0"/>
        <w:textAlignment w:val="auto"/>
        <w:rPr>
          <w:rFonts w:hint="eastAsia" w:ascii="方正小标宋简体" w:hAnsi="方正小标宋简体" w:eastAsia="方正小标宋简体" w:cs="方正小标宋简体"/>
          <w:b w:val="0"/>
          <w:bCs w:val="0"/>
          <w:kern w:val="2"/>
          <w:sz w:val="24"/>
          <w:szCs w:val="24"/>
          <w:highlight w:val="none"/>
          <w:lang w:val="en-US" w:eastAsia="zh-CN" w:bidi="ar-SA"/>
        </w:rPr>
      </w:pPr>
      <w:r>
        <w:rPr>
          <w:rFonts w:hint="eastAsia" w:ascii="方正小标宋简体" w:hAnsi="方正小标宋简体" w:eastAsia="方正小标宋简体" w:cs="方正小标宋简体"/>
          <w:b w:val="0"/>
          <w:bCs w:val="0"/>
          <w:kern w:val="2"/>
          <w:sz w:val="24"/>
          <w:szCs w:val="24"/>
          <w:highlight w:val="none"/>
          <w:lang w:val="en-US" w:eastAsia="zh-CN" w:bidi="ar-SA"/>
        </w:rPr>
        <w:t>服务要求</w:t>
      </w:r>
    </w:p>
    <w:p>
      <w:pPr>
        <w:pStyle w:val="12"/>
        <w:numPr>
          <w:ilvl w:val="0"/>
          <w:numId w:val="12"/>
        </w:numPr>
        <w:adjustRightInd w:val="0"/>
        <w:snapToGrid w:val="0"/>
        <w:spacing w:line="400" w:lineRule="atLeast"/>
        <w:ind w:left="20" w:firstLine="400"/>
        <w:rPr>
          <w:rFonts w:hint="eastAsia"/>
          <w:kern w:val="0"/>
          <w:sz w:val="24"/>
          <w:highlight w:val="none"/>
        </w:rPr>
      </w:pPr>
      <w:r>
        <w:rPr>
          <w:rFonts w:hint="eastAsia"/>
          <w:kern w:val="0"/>
          <w:sz w:val="24"/>
          <w:highlight w:val="none"/>
        </w:rPr>
        <w:t>投标人需要有技术服务团队，按照采购人要求配送</w:t>
      </w:r>
      <w:r>
        <w:rPr>
          <w:rFonts w:hint="eastAsia"/>
          <w:kern w:val="0"/>
          <w:sz w:val="24"/>
          <w:highlight w:val="none"/>
          <w:lang w:eastAsia="zh-CN"/>
        </w:rPr>
        <w:t>、</w:t>
      </w:r>
      <w:r>
        <w:rPr>
          <w:rFonts w:hint="eastAsia"/>
          <w:kern w:val="0"/>
          <w:sz w:val="24"/>
          <w:highlight w:val="none"/>
          <w:lang w:val="en-US" w:eastAsia="zh-CN"/>
        </w:rPr>
        <w:t>安装</w:t>
      </w:r>
      <w:r>
        <w:rPr>
          <w:rFonts w:hint="eastAsia"/>
          <w:kern w:val="0"/>
          <w:sz w:val="24"/>
          <w:highlight w:val="none"/>
        </w:rPr>
        <w:t>至指定地点，并按照流程完成验收手续。在紧急配送需求时，需根据实际工作增加保障人员。</w:t>
      </w:r>
    </w:p>
    <w:p>
      <w:pPr>
        <w:pStyle w:val="12"/>
        <w:numPr>
          <w:ilvl w:val="0"/>
          <w:numId w:val="12"/>
        </w:numPr>
        <w:adjustRightInd w:val="0"/>
        <w:snapToGrid w:val="0"/>
        <w:spacing w:line="400" w:lineRule="atLeast"/>
        <w:ind w:left="20" w:firstLine="400"/>
        <w:rPr>
          <w:kern w:val="0"/>
          <w:sz w:val="24"/>
          <w:highlight w:val="none"/>
        </w:rPr>
      </w:pPr>
      <w:r>
        <w:rPr>
          <w:rFonts w:hint="eastAsia"/>
          <w:kern w:val="0"/>
          <w:sz w:val="24"/>
          <w:highlight w:val="none"/>
        </w:rPr>
        <w:t>配送时效：常规订单下单后</w:t>
      </w:r>
      <w:r>
        <w:rPr>
          <w:rFonts w:hint="eastAsia"/>
          <w:kern w:val="0"/>
          <w:sz w:val="24"/>
          <w:highlight w:val="none"/>
          <w:lang w:val="en-US" w:eastAsia="zh-CN"/>
        </w:rPr>
        <w:t>三天</w:t>
      </w:r>
      <w:r>
        <w:rPr>
          <w:rFonts w:hint="eastAsia"/>
          <w:kern w:val="0"/>
          <w:sz w:val="24"/>
          <w:highlight w:val="none"/>
        </w:rPr>
        <w:t>内完成配送</w:t>
      </w:r>
      <w:r>
        <w:rPr>
          <w:rFonts w:hint="eastAsia"/>
          <w:kern w:val="0"/>
          <w:sz w:val="24"/>
          <w:highlight w:val="none"/>
          <w:lang w:val="en-US" w:eastAsia="zh-CN"/>
        </w:rPr>
        <w:t>并安装验收；</w:t>
      </w:r>
      <w:r>
        <w:rPr>
          <w:rFonts w:hint="eastAsia"/>
          <w:kern w:val="0"/>
          <w:sz w:val="24"/>
          <w:highlight w:val="none"/>
        </w:rPr>
        <w:t>科室特急订单在下单后</w:t>
      </w:r>
      <w:r>
        <w:rPr>
          <w:rFonts w:hint="eastAsia"/>
          <w:kern w:val="0"/>
          <w:sz w:val="24"/>
          <w:highlight w:val="none"/>
          <w:lang w:val="en-US" w:eastAsia="zh-CN"/>
        </w:rPr>
        <w:t>两天时</w:t>
      </w:r>
      <w:r>
        <w:rPr>
          <w:rFonts w:hint="eastAsia"/>
          <w:kern w:val="0"/>
          <w:sz w:val="24"/>
          <w:highlight w:val="none"/>
        </w:rPr>
        <w:t>内完成配送</w:t>
      </w:r>
      <w:r>
        <w:rPr>
          <w:rFonts w:hint="eastAsia"/>
          <w:kern w:val="0"/>
          <w:sz w:val="24"/>
          <w:highlight w:val="none"/>
          <w:lang w:val="en-US" w:eastAsia="zh-CN"/>
        </w:rPr>
        <w:t>并安装验收</w:t>
      </w:r>
      <w:r>
        <w:rPr>
          <w:rFonts w:hint="eastAsia"/>
          <w:kern w:val="0"/>
          <w:sz w:val="24"/>
          <w:highlight w:val="none"/>
        </w:rPr>
        <w:t>；紧急采购订单在下单后</w:t>
      </w:r>
      <w:r>
        <w:rPr>
          <w:rFonts w:hint="eastAsia"/>
          <w:kern w:val="0"/>
          <w:sz w:val="24"/>
          <w:highlight w:val="none"/>
          <w:lang w:val="en-US" w:eastAsia="zh-CN"/>
        </w:rPr>
        <w:t>24</w:t>
      </w:r>
      <w:r>
        <w:rPr>
          <w:rFonts w:hint="eastAsia"/>
          <w:kern w:val="0"/>
          <w:sz w:val="24"/>
          <w:highlight w:val="none"/>
        </w:rPr>
        <w:t>小时内完成配送</w:t>
      </w:r>
      <w:r>
        <w:rPr>
          <w:rFonts w:hint="eastAsia"/>
          <w:kern w:val="0"/>
          <w:sz w:val="24"/>
          <w:highlight w:val="none"/>
          <w:lang w:val="en-US" w:eastAsia="zh-CN"/>
        </w:rPr>
        <w:t>并安装验收</w:t>
      </w:r>
      <w:r>
        <w:rPr>
          <w:rFonts w:hint="eastAsia"/>
          <w:kern w:val="0"/>
          <w:sz w:val="24"/>
          <w:highlight w:val="none"/>
        </w:rPr>
        <w:t>；（需提供有效的承诺函加盖公章）。</w:t>
      </w:r>
    </w:p>
    <w:p>
      <w:pPr>
        <w:pStyle w:val="12"/>
        <w:numPr>
          <w:ilvl w:val="0"/>
          <w:numId w:val="12"/>
        </w:numPr>
        <w:adjustRightInd w:val="0"/>
        <w:snapToGrid w:val="0"/>
        <w:spacing w:line="400" w:lineRule="atLeast"/>
        <w:ind w:left="20" w:firstLine="400"/>
        <w:rPr>
          <w:rFonts w:hint="eastAsia"/>
          <w:kern w:val="0"/>
          <w:sz w:val="24"/>
          <w:highlight w:val="none"/>
        </w:rPr>
      </w:pPr>
      <w:r>
        <w:rPr>
          <w:rFonts w:hint="eastAsia"/>
          <w:kern w:val="0"/>
          <w:sz w:val="24"/>
          <w:highlight w:val="none"/>
        </w:rPr>
        <w:t>投标人所供应产品有任何质量问题，投标人应无条件包退包换。</w:t>
      </w:r>
    </w:p>
    <w:p>
      <w:pPr>
        <w:numPr>
          <w:ilvl w:val="0"/>
          <w:numId w:val="12"/>
        </w:numPr>
        <w:tabs>
          <w:tab w:val="left" w:pos="567"/>
        </w:tabs>
        <w:adjustRightInd w:val="0"/>
        <w:snapToGrid w:val="0"/>
        <w:spacing w:line="400" w:lineRule="atLeast"/>
        <w:rPr>
          <w:kern w:val="0"/>
          <w:sz w:val="24"/>
          <w:highlight w:val="none"/>
        </w:rPr>
      </w:pPr>
      <w:r>
        <w:rPr>
          <w:rFonts w:hint="eastAsia"/>
          <w:kern w:val="0"/>
          <w:sz w:val="24"/>
          <w:highlight w:val="none"/>
        </w:rPr>
        <w:t>产品应符合招标文件的相关技术要求，如没有提及适用标准，则应符合中华人民共和国国家标准或行业标准，如果中华人民共和国没有相关标准的，则采用货物来源国适用的官方标准。这些标准必须是有关机构发布的最新版本的标准。产品在质量的可靠性方面，应符合国家或行业现行最高级别的质量标准和要求</w:t>
      </w:r>
      <w:r>
        <w:rPr>
          <w:rFonts w:hint="eastAsia"/>
          <w:kern w:val="0"/>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left="420" w:leftChars="0"/>
        <w:textAlignment w:val="auto"/>
        <w:rPr>
          <w:rFonts w:hint="eastAsia" w:ascii="方正小标宋简体" w:hAnsi="方正小标宋简体" w:eastAsia="方正小标宋简体" w:cs="方正小标宋简体"/>
          <w:b w:val="0"/>
          <w:bCs w:val="0"/>
          <w:kern w:val="2"/>
          <w:sz w:val="24"/>
          <w:szCs w:val="24"/>
          <w:highlight w:val="none"/>
          <w:lang w:val="en-US" w:eastAsia="zh-CN" w:bidi="ar-SA"/>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atLeast"/>
        <w:ind w:left="0" w:leftChars="0" w:firstLine="420" w:firstLineChars="0"/>
        <w:textAlignment w:val="auto"/>
        <w:rPr>
          <w:rFonts w:hint="eastAsia" w:ascii="方正小标宋简体" w:hAnsi="方正小标宋简体" w:eastAsia="方正小标宋简体" w:cs="方正小标宋简体"/>
          <w:b w:val="0"/>
          <w:bCs w:val="0"/>
          <w:kern w:val="2"/>
          <w:sz w:val="24"/>
          <w:szCs w:val="24"/>
          <w:highlight w:val="none"/>
          <w:lang w:val="en-US" w:eastAsia="zh-CN" w:bidi="ar-SA"/>
        </w:rPr>
      </w:pPr>
      <w:r>
        <w:rPr>
          <w:rFonts w:hint="eastAsia" w:ascii="方正小标宋简体" w:hAnsi="方正小标宋简体" w:eastAsia="方正小标宋简体" w:cs="方正小标宋简体"/>
          <w:b w:val="0"/>
          <w:bCs w:val="0"/>
          <w:kern w:val="2"/>
          <w:sz w:val="24"/>
          <w:szCs w:val="24"/>
          <w:highlight w:val="none"/>
          <w:lang w:val="en-US" w:eastAsia="zh-CN" w:bidi="ar-SA"/>
        </w:rPr>
        <w:t>样品</w:t>
      </w:r>
    </w:p>
    <w:tbl>
      <w:tblPr>
        <w:tblStyle w:val="13"/>
        <w:tblW w:w="7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314"/>
        <w:gridCol w:w="949"/>
        <w:gridCol w:w="123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06"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序号</w:t>
            </w:r>
          </w:p>
        </w:tc>
        <w:tc>
          <w:tcPr>
            <w:tcW w:w="2314"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名称</w:t>
            </w:r>
          </w:p>
        </w:tc>
        <w:tc>
          <w:tcPr>
            <w:tcW w:w="949" w:type="dxa"/>
            <w:vAlign w:val="center"/>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数量</w:t>
            </w:r>
          </w:p>
        </w:tc>
        <w:tc>
          <w:tcPr>
            <w:tcW w:w="1232" w:type="dxa"/>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单位</w:t>
            </w:r>
          </w:p>
        </w:tc>
        <w:tc>
          <w:tcPr>
            <w:tcW w:w="2237" w:type="dxa"/>
          </w:tcPr>
          <w:p>
            <w:pPr>
              <w:spacing w:line="360" w:lineRule="auto"/>
              <w:jc w:val="center"/>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06"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2314"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lang w:val="en-US" w:eastAsia="zh-CN"/>
              </w:rPr>
              <w:t>管道排烟风机</w:t>
            </w:r>
          </w:p>
        </w:tc>
        <w:tc>
          <w:tcPr>
            <w:tcW w:w="949"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1232" w:type="dxa"/>
            <w:vAlign w:val="center"/>
          </w:tcPr>
          <w:p>
            <w:pPr>
              <w:spacing w:line="360" w:lineRule="auto"/>
              <w:jc w:val="center"/>
              <w:rPr>
                <w:rFonts w:hint="eastAsia" w:asciiTheme="minorEastAsia" w:hAnsiTheme="minorEastAsia" w:eastAsiaTheme="minorEastAsia"/>
                <w:bCs/>
                <w:snapToGrid w:val="0"/>
                <w:kern w:val="0"/>
                <w:szCs w:val="21"/>
                <w:lang w:eastAsia="zh-CN"/>
              </w:rPr>
            </w:pPr>
            <w:r>
              <w:rPr>
                <w:rFonts w:hint="eastAsia" w:asciiTheme="minorEastAsia" w:hAnsiTheme="minorEastAsia" w:eastAsiaTheme="minorEastAsia"/>
                <w:bCs/>
                <w:snapToGrid w:val="0"/>
                <w:kern w:val="0"/>
                <w:szCs w:val="21"/>
                <w:lang w:val="en-US" w:eastAsia="zh-CN"/>
              </w:rPr>
              <w:t>台</w:t>
            </w:r>
          </w:p>
        </w:tc>
        <w:tc>
          <w:tcPr>
            <w:tcW w:w="2237" w:type="dxa"/>
          </w:tcPr>
          <w:p>
            <w:pPr>
              <w:spacing w:line="360" w:lineRule="auto"/>
              <w:jc w:val="center"/>
              <w:rPr>
                <w:rFonts w:hint="eastAsia" w:asciiTheme="minorEastAsia" w:hAnsiTheme="minorEastAsia" w:eastAsiaTheme="minorEastAsia"/>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06"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w:t>
            </w:r>
          </w:p>
        </w:tc>
        <w:tc>
          <w:tcPr>
            <w:tcW w:w="2314"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lang w:val="en-US" w:eastAsia="zh-CN"/>
              </w:rPr>
              <w:t>1床位滑轨式排烟系统</w:t>
            </w:r>
          </w:p>
        </w:tc>
        <w:tc>
          <w:tcPr>
            <w:tcW w:w="949" w:type="dxa"/>
            <w:vAlign w:val="center"/>
          </w:tcPr>
          <w:p>
            <w:pPr>
              <w:spacing w:line="360" w:lineRule="auto"/>
              <w:jc w:val="center"/>
              <w:rPr>
                <w:rFonts w:hint="eastAsia"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w:t>
            </w:r>
          </w:p>
        </w:tc>
        <w:tc>
          <w:tcPr>
            <w:tcW w:w="1232" w:type="dxa"/>
            <w:vAlign w:val="center"/>
          </w:tcPr>
          <w:p>
            <w:pPr>
              <w:spacing w:line="360" w:lineRule="auto"/>
              <w:jc w:val="center"/>
              <w:rPr>
                <w:rFonts w:hint="eastAsia" w:asciiTheme="minorEastAsia" w:hAnsiTheme="minorEastAsia" w:eastAsiaTheme="minorEastAsia"/>
                <w:bCs/>
                <w:snapToGrid w:val="0"/>
                <w:kern w:val="0"/>
                <w:szCs w:val="21"/>
                <w:lang w:eastAsia="zh-CN"/>
              </w:rPr>
            </w:pPr>
            <w:r>
              <w:rPr>
                <w:rFonts w:hint="eastAsia" w:asciiTheme="minorEastAsia" w:hAnsiTheme="minorEastAsia"/>
                <w:bCs/>
                <w:snapToGrid w:val="0"/>
                <w:kern w:val="0"/>
                <w:szCs w:val="21"/>
                <w:lang w:val="en-US" w:eastAsia="zh-CN"/>
              </w:rPr>
              <w:t>套</w:t>
            </w:r>
          </w:p>
        </w:tc>
        <w:tc>
          <w:tcPr>
            <w:tcW w:w="2237" w:type="dxa"/>
          </w:tcPr>
          <w:p>
            <w:pPr>
              <w:spacing w:line="360" w:lineRule="auto"/>
              <w:jc w:val="center"/>
              <w:rPr>
                <w:rFonts w:hint="eastAsia" w:asciiTheme="minorEastAsia" w:hAnsiTheme="minorEastAsia" w:eastAsiaTheme="minorEastAsia"/>
                <w:bCs/>
                <w:snapToGrid w:val="0"/>
                <w:kern w:val="0"/>
                <w:szCs w:val="21"/>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left="420" w:leftChars="0"/>
        <w:textAlignment w:val="auto"/>
        <w:rPr>
          <w:rFonts w:hint="eastAsia" w:ascii="宋体" w:hAnsi="宋体" w:eastAsia="宋体" w:cs="宋体"/>
          <w:color w:val="000000"/>
          <w:kern w:val="0"/>
          <w:sz w:val="24"/>
          <w:lang w:eastAsia="zh-CN"/>
        </w:rPr>
      </w:pPr>
      <w:r>
        <w:rPr>
          <w:rFonts w:hint="eastAsia" w:ascii="宋体" w:hAnsi="宋体" w:eastAsia="宋体" w:cs="宋体"/>
          <w:b/>
          <w:bCs/>
          <w:kern w:val="0"/>
          <w:sz w:val="24"/>
        </w:rPr>
        <w:t>开标当天提供样品及产品彩页</w:t>
      </w:r>
      <w:r>
        <w:rPr>
          <w:rFonts w:hint="eastAsia" w:ascii="宋体" w:hAnsi="宋体" w:eastAsia="宋体" w:cs="宋体"/>
          <w:color w:val="FF0000"/>
          <w:kern w:val="0"/>
          <w:sz w:val="24"/>
        </w:rPr>
        <w:t>，</w:t>
      </w:r>
      <w:r>
        <w:rPr>
          <w:rFonts w:hint="eastAsia" w:ascii="宋体" w:hAnsi="宋体" w:eastAsia="宋体" w:cs="宋体"/>
          <w:color w:val="000000"/>
          <w:kern w:val="0"/>
          <w:sz w:val="24"/>
        </w:rPr>
        <w:t>申报样品为本次</w:t>
      </w:r>
      <w:r>
        <w:rPr>
          <w:rFonts w:hint="eastAsia" w:ascii="宋体" w:hAnsi="宋体" w:eastAsia="宋体" w:cs="宋体"/>
          <w:b/>
          <w:bCs/>
          <w:color w:val="000000"/>
          <w:kern w:val="0"/>
          <w:sz w:val="24"/>
        </w:rPr>
        <w:t>公开采购</w:t>
      </w:r>
      <w:r>
        <w:rPr>
          <w:rFonts w:hint="eastAsia" w:ascii="宋体" w:hAnsi="宋体" w:eastAsia="宋体" w:cs="宋体"/>
          <w:color w:val="000000"/>
          <w:kern w:val="0"/>
          <w:sz w:val="24"/>
        </w:rPr>
        <w:t>的评审要素之一。样品需退还的，由于评审的需要，退还时不保证样品的完整性。成交后供货（包括包装等）应与投标样品相一致，否则投标商应承担违约责任</w:t>
      </w:r>
      <w:r>
        <w:rPr>
          <w:rFonts w:hint="eastAsia" w:ascii="宋体" w:hAnsi="宋体" w:eastAsia="宋体" w:cs="宋体"/>
          <w:color w:val="000000"/>
          <w:kern w:val="0"/>
          <w:sz w:val="24"/>
          <w:lang w:eastAsia="zh-CN"/>
        </w:rPr>
        <w:t>。</w:t>
      </w:r>
    </w:p>
    <w:p>
      <w:pPr>
        <w:pStyle w:val="2"/>
        <w:rPr>
          <w:rFonts w:hint="eastAsia"/>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520" w:lineRule="atLeast"/>
        <w:ind w:left="0" w:leftChars="0" w:firstLine="420" w:firstLineChars="0"/>
        <w:textAlignment w:val="auto"/>
        <w:rPr>
          <w:rFonts w:hint="eastAsia" w:ascii="方正小标宋简体" w:hAnsi="方正小标宋简体" w:eastAsia="方正小标宋简体" w:cs="方正小标宋简体"/>
          <w:b w:val="0"/>
          <w:bCs w:val="0"/>
          <w:kern w:val="2"/>
          <w:sz w:val="24"/>
          <w:szCs w:val="24"/>
          <w:highlight w:val="none"/>
          <w:lang w:val="en-US" w:eastAsia="zh-CN" w:bidi="ar-SA"/>
        </w:rPr>
      </w:pPr>
      <w:r>
        <w:rPr>
          <w:rFonts w:hint="eastAsia" w:ascii="方正小标宋简体" w:hAnsi="方正小标宋简体" w:eastAsia="方正小标宋简体" w:cs="方正小标宋简体"/>
          <w:b w:val="0"/>
          <w:bCs w:val="0"/>
          <w:kern w:val="2"/>
          <w:sz w:val="24"/>
          <w:szCs w:val="24"/>
          <w:highlight w:val="none"/>
          <w:lang w:val="en-US" w:eastAsia="zh-CN" w:bidi="ar-SA"/>
        </w:rPr>
        <w:t>★商务条款</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20" w:lineRule="atLeast"/>
        <w:ind w:left="0" w:leftChars="0" w:firstLine="400" w:firstLineChars="0"/>
        <w:textAlignment w:val="auto"/>
        <w:rPr>
          <w:color w:val="000000"/>
          <w:kern w:val="0"/>
          <w:sz w:val="24"/>
          <w:szCs w:val="22"/>
          <w:highlight w:val="none"/>
        </w:rPr>
      </w:pP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期限：</w:t>
      </w:r>
      <w:r>
        <w:rPr>
          <w:rFonts w:hint="eastAsia" w:eastAsia="宋体"/>
          <w:b w:val="0"/>
          <w:bCs w:val="0"/>
          <w:sz w:val="24"/>
          <w:highlight w:val="none"/>
          <w:lang w:val="en-US" w:eastAsia="zh-CN"/>
        </w:rPr>
        <w:t>本项目合同期限为一年，期满后，采购人可根据中标人履约情况确定合同期限是否延长，但最长不超过两年，第一年为本次项目的中标服务期限，合同一年一签。</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20" w:lineRule="atLeast"/>
        <w:ind w:left="0" w:leftChars="0" w:firstLine="40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服务</w:t>
      </w:r>
      <w:r>
        <w:rPr>
          <w:rFonts w:hint="eastAsia" w:ascii="宋体" w:hAnsi="宋体" w:eastAsia="宋体" w:cs="宋体"/>
          <w:b/>
          <w:bCs/>
          <w:sz w:val="24"/>
          <w:szCs w:val="24"/>
          <w:highlight w:val="none"/>
        </w:rPr>
        <w:t>地点：</w:t>
      </w:r>
      <w:r>
        <w:rPr>
          <w:rFonts w:eastAsia="宋体"/>
          <w:sz w:val="24"/>
          <w:highlight w:val="none"/>
        </w:rPr>
        <w:t>中山大学附属第八医院（深圳福田）</w:t>
      </w:r>
      <w:r>
        <w:rPr>
          <w:rFonts w:hint="eastAsia" w:eastAsia="宋体"/>
          <w:sz w:val="24"/>
          <w:highlight w:val="none"/>
        </w:rPr>
        <w:t>指定地点</w:t>
      </w:r>
      <w:r>
        <w:rPr>
          <w:rFonts w:hint="eastAsia" w:eastAsia="宋体"/>
          <w:sz w:val="24"/>
          <w:highlight w:val="none"/>
          <w:lang w:eastAsia="zh-CN"/>
        </w:rPr>
        <w:t>（</w:t>
      </w:r>
      <w:r>
        <w:rPr>
          <w:rFonts w:hint="eastAsia" w:eastAsia="宋体"/>
          <w:sz w:val="24"/>
          <w:highlight w:val="none"/>
          <w:lang w:val="en-US" w:eastAsia="zh-CN"/>
        </w:rPr>
        <w:t>医院及各社康</w:t>
      </w:r>
      <w:r>
        <w:rPr>
          <w:rFonts w:hint="eastAsia" w:eastAsia="宋体"/>
          <w:sz w:val="24"/>
          <w:highlight w:val="none"/>
          <w:lang w:eastAsia="zh-CN"/>
        </w:rPr>
        <w:t>）</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20" w:lineRule="atLeast"/>
        <w:ind w:left="0" w:leftChars="0" w:firstLine="40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投标报价要求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投标总价必须是完成该项目的一切费用总和，包括设备费、运输费、装卸费、保险费、技术培训费、设备安装费、调试费、售后服务费、国家规定的各项税费等全部费用。</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20" w:lineRule="atLeast"/>
        <w:ind w:left="0" w:leftChars="0" w:firstLine="40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付款方式</w:t>
      </w:r>
      <w:r>
        <w:rPr>
          <w:rFonts w:hint="eastAsia" w:ascii="宋体" w:hAnsi="宋体" w:eastAsia="宋体" w:cs="宋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left="400" w:leftChars="0"/>
        <w:textAlignment w:val="auto"/>
        <w:rPr>
          <w:rFonts w:hint="eastAsia" w:ascii="宋体" w:hAnsi="宋体" w:eastAsia="宋体" w:cs="宋体"/>
          <w:b/>
          <w:bCs/>
          <w:sz w:val="24"/>
          <w:szCs w:val="24"/>
          <w:highlight w:val="none"/>
        </w:rPr>
      </w:pPr>
      <w:r>
        <w:rPr>
          <w:rFonts w:hint="eastAsia" w:ascii="宋体" w:hAnsi="宋体" w:cs="宋体"/>
          <w:kern w:val="0"/>
          <w:sz w:val="24"/>
          <w:highlight w:val="none"/>
        </w:rPr>
        <w:t>按照中山大学附属第八医院（深圳福田）有关规定付款。</w:t>
      </w:r>
    </w:p>
    <w:p>
      <w:pPr>
        <w:numPr>
          <w:ilvl w:val="0"/>
          <w:numId w:val="0"/>
        </w:numPr>
        <w:tabs>
          <w:tab w:val="left" w:pos="567"/>
        </w:tabs>
        <w:adjustRightInd w:val="0"/>
        <w:snapToGrid w:val="0"/>
        <w:spacing w:line="400" w:lineRule="atLeast"/>
        <w:ind w:firstLine="480" w:firstLineChars="200"/>
        <w:rPr>
          <w:rFonts w:hint="eastAsia" w:eastAsia="宋体"/>
          <w:b w:val="0"/>
          <w:bCs w:val="0"/>
          <w:sz w:val="24"/>
          <w:highlight w:val="none"/>
          <w:lang w:val="en-US" w:eastAsia="zh-CN"/>
        </w:rPr>
      </w:pPr>
      <w:r>
        <w:rPr>
          <w:rFonts w:hint="eastAsia" w:eastAsia="宋体"/>
          <w:b w:val="0"/>
          <w:bCs w:val="0"/>
          <w:sz w:val="24"/>
          <w:highlight w:val="none"/>
          <w:lang w:val="en-US" w:eastAsia="zh-CN"/>
        </w:rPr>
        <w:t>本项目预算支付上限为人民币26万元整，合同签订后，中标人按照采购人的实际要求按批次送货及安装服务，采购人根据实际送货、验收情况进行结算，按季度支付货物费用给中标人。最终结算费用以实际发生的费用为准，超出预算（支付上限）部分不予结算。中标人每季度5日前提供上季度实际送货的货物发票、送货清单及其他采购人所需付款资料给采购人。采购人财务部收到中标人所有付款资料后15日支付。特殊情况下，双方可另行约定结算方式。</w:t>
      </w:r>
    </w:p>
    <w:p>
      <w:pPr>
        <w:pStyle w:val="6"/>
        <w:keepNext w:val="0"/>
        <w:keepLines w:val="0"/>
        <w:pageBreakBefore w:val="0"/>
        <w:widowControl w:val="0"/>
        <w:numPr>
          <w:ilvl w:val="0"/>
          <w:numId w:val="13"/>
        </w:numPr>
        <w:kinsoku/>
        <w:wordWrap/>
        <w:overflowPunct/>
        <w:topLinePunct w:val="0"/>
        <w:autoSpaceDE/>
        <w:autoSpaceDN/>
        <w:bidi w:val="0"/>
        <w:adjustRightInd w:val="0"/>
        <w:snapToGrid w:val="0"/>
        <w:spacing w:line="520" w:lineRule="atLeast"/>
        <w:ind w:left="0" w:leftChars="0" w:firstLine="400" w:firstLineChars="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交货要求（仅供参考）</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5.1 中标人应向</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提供配置清单、产品说明书、图纸、操作手册、中文操作使用说明书、设备原厂维护手册、维修手册、软件备份、故障代码表、备件清单、零部件、维护手册（含维修密码及接口数据）等维护维修必需的材料和信息。所有外文资料需提供中文译本。文件应随货物一并交付至</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指点地点。</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5.2提供的货物必须为全新货物，出厂日期在</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收到日期前12个月内，最新生产批次且经检验合格的产品。产品如需要计量检定的应提供相关计量检定部门出具的合法检定报告。其中，进口设备必须具有报关证明文件、原产地证明和商检合格证明文件等相关证明文件，否则</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概不接收。如国家规定的强检设备，由中标人负责完成首次计量强制检定，验收前中标人必须附上计量检定合格报告。</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5.3 </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有权检验或测试货物，以确认货物是否符合合同规格的要求，并且不承担额外的费用。如发现所交货物与投标文件中所承诺的不符或存在质量、技术缺陷等,</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可以拒绝接收该货物,中标人应在 7 日历日内采取补足、更换或退货等措施,以满足规格的要求，由此发生的一切损失和费用由中标人承担。</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5.4中标人负责货物的现场安装和调试,提供货物安装、调试和维修所需的专用工具和辅助材料。。</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5.5货物安装需施工的，</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与中标人共同签字确定安装场地施工方案。并承担设备的包装、运输、保险、装卸、安装调试、培训、商检及计量检测、关税、增值税等费用。</w:t>
      </w:r>
    </w:p>
    <w:p>
      <w:pPr>
        <w:keepNext w:val="0"/>
        <w:keepLines w:val="0"/>
        <w:pageBreakBefore w:val="0"/>
        <w:widowControl w:val="0"/>
        <w:kinsoku/>
        <w:wordWrap/>
        <w:overflowPunct/>
        <w:topLinePunct w:val="0"/>
        <w:autoSpaceDE/>
        <w:autoSpaceDN/>
        <w:bidi w:val="0"/>
        <w:adjustRightInd w:val="0"/>
        <w:snapToGrid w:val="0"/>
        <w:spacing w:line="520" w:lineRule="atLeast"/>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highlight w:val="none"/>
          <w:lang w:val="en-US" w:eastAsia="zh-CN"/>
        </w:rPr>
        <w:t>.关于</w:t>
      </w:r>
      <w:r>
        <w:rPr>
          <w:rFonts w:hint="eastAsia" w:ascii="宋体" w:hAnsi="宋体" w:eastAsia="宋体" w:cs="宋体"/>
          <w:b/>
          <w:bCs/>
          <w:color w:val="auto"/>
          <w:sz w:val="24"/>
          <w:szCs w:val="24"/>
          <w:highlight w:val="none"/>
        </w:rPr>
        <w:t>验收</w:t>
      </w:r>
      <w:r>
        <w:rPr>
          <w:rFonts w:hint="eastAsia" w:ascii="宋体" w:hAnsi="宋体" w:eastAsia="宋体" w:cs="宋体"/>
          <w:b/>
          <w:bCs/>
          <w:kern w:val="2"/>
          <w:sz w:val="24"/>
          <w:szCs w:val="24"/>
          <w:highlight w:val="none"/>
          <w:lang w:val="en-US" w:eastAsia="zh-CN" w:bidi="ar-SA"/>
        </w:rPr>
        <w:t>（仅供参考）</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6.1中标人应派有经验的技术人员到现场进行安装、调试，直到设备正常使用。由</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按合同和招标、投标文件约定的要求和标准及中华人民共和国现行的验收规范和评定标准进行交货验收。</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6.2 验收要求：货物必须满足以下条件后方可被采购方接受： </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1）货物具备产品合格证。</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2）设备全新,外观无伤痕变形或明显修饰痕迹。</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4）技术文件资料、备件等已按规定数量移交完毕。</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5）按照招标书要求及投标文件提供的技术要求验收必须合格。</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6）中标人提供的各种文件载明的内容必须真实，</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对产品的技术数据置疑时有权要求中标人按照双方认可的第三方检测机构出具的检验方法进行检测(检测费用由中标人承担)，检测结果必须证明中标人提供的技术数据是真实的，否则视为不合格。</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7）在货物安装调试合格后，所有技术指标达到技术规范书要求，经验收合格后，双方共同签署验收报告。产品质保期自验收合格之日起算，由中标人提供产品质保文件。</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6.3</w:t>
      </w:r>
      <w:r>
        <w:rPr>
          <w:rFonts w:hint="eastAsia" w:ascii="宋体" w:hAnsi="宋体" w:eastAsia="宋体" w:cs="宋体"/>
          <w:bCs/>
          <w:color w:val="auto"/>
          <w:sz w:val="24"/>
          <w:szCs w:val="24"/>
          <w:highlight w:val="none"/>
        </w:rPr>
        <w:t>因货物质量问题发生争议时，由本地质量技术监督部门鉴定，货物符合质量技术标准的，鉴定费由</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承担，否则鉴定费由</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承担。</w:t>
      </w:r>
    </w:p>
    <w:p>
      <w:pPr>
        <w:pStyle w:val="17"/>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atLeast"/>
        <w:ind w:firstLine="482"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7、售后服务要求</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7.1各投标人应在投标文件中列明各主机、配件和易耗品的质保期限, 并承诺全部产品提供整机免费原厂保修期</w:t>
      </w:r>
      <w:r>
        <w:rPr>
          <w:rStyle w:val="16"/>
          <w:rFonts w:hint="eastAsia" w:ascii="宋体" w:hAnsi="宋体" w:eastAsia="宋体" w:cs="宋体"/>
          <w:sz w:val="24"/>
          <w:szCs w:val="24"/>
          <w:highlight w:val="none"/>
          <w:lang w:val="en-US" w:eastAsia="zh-CN"/>
        </w:rPr>
        <w:t>1</w:t>
      </w:r>
      <w:r>
        <w:rPr>
          <w:rFonts w:hint="eastAsia" w:ascii="宋体" w:hAnsi="宋体" w:eastAsia="宋体" w:cs="宋体"/>
          <w:bCs/>
          <w:sz w:val="24"/>
          <w:szCs w:val="24"/>
          <w:highlight w:val="none"/>
        </w:rPr>
        <w:t>年，</w:t>
      </w:r>
      <w:r>
        <w:rPr>
          <w:rFonts w:hint="eastAsia" w:ascii="宋体" w:hAnsi="宋体" w:eastAsia="宋体" w:cs="宋体"/>
          <w:b/>
          <w:sz w:val="24"/>
          <w:szCs w:val="24"/>
          <w:highlight w:val="none"/>
        </w:rPr>
        <w:t>（特别提示：免费保修期达不到招标文件要求的，该投标文件初审不通过）</w:t>
      </w:r>
      <w:r>
        <w:rPr>
          <w:rFonts w:hint="eastAsia" w:ascii="宋体" w:hAnsi="宋体" w:eastAsia="宋体" w:cs="宋体"/>
          <w:bCs/>
          <w:sz w:val="24"/>
          <w:szCs w:val="24"/>
          <w:highlight w:val="none"/>
        </w:rPr>
        <w:t>终身维修。质保期内,年度定期预防性维护保养2 次并留存维护记录。质保期内免费更换零配件、免工时费。</w:t>
      </w:r>
      <w:r>
        <w:rPr>
          <w:rFonts w:hint="eastAsia" w:ascii="宋体" w:hAnsi="宋体" w:eastAsia="宋体" w:cs="宋体"/>
          <w:bCs/>
          <w:sz w:val="24"/>
          <w:szCs w:val="24"/>
          <w:highlight w:val="none"/>
          <w:lang w:val="en-US" w:eastAsia="zh-CN"/>
        </w:rPr>
        <w:t>对于非中标人安装的艾灸排烟机应以优惠价进行维修保养，并出具《维修保养报价清单》。</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7.2如遇故障4小时内响应，4小时内响应，24 小时维修到位（不可抗力情况除外）。消耗品和零配件供应及时，质保期内及外设备出现故障不能正常使用，中标人应免费提供备用机给</w:t>
      </w:r>
      <w:r>
        <w:rPr>
          <w:rFonts w:hint="eastAsia" w:ascii="宋体" w:hAnsi="宋体" w:eastAsia="宋体" w:cs="宋体"/>
          <w:bCs/>
          <w:sz w:val="24"/>
          <w:szCs w:val="24"/>
          <w:highlight w:val="none"/>
          <w:lang w:eastAsia="zh-CN"/>
        </w:rPr>
        <w:t>采购人</w:t>
      </w:r>
      <w:r>
        <w:rPr>
          <w:rFonts w:hint="eastAsia" w:ascii="宋体" w:hAnsi="宋体" w:eastAsia="宋体" w:cs="宋体"/>
          <w:bCs/>
          <w:sz w:val="24"/>
          <w:szCs w:val="24"/>
          <w:highlight w:val="none"/>
        </w:rPr>
        <w:t>使用直至设备修复完好投入使用。</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keepNext w:val="0"/>
        <w:keepLines w:val="0"/>
        <w:pageBreakBefore w:val="0"/>
        <w:widowControl w:val="0"/>
        <w:kinsoku/>
        <w:wordWrap/>
        <w:overflowPunct/>
        <w:topLinePunct w:val="0"/>
        <w:autoSpaceDE/>
        <w:autoSpaceDN/>
        <w:bidi w:val="0"/>
        <w:adjustRightInd w:val="0"/>
        <w:snapToGrid w:val="0"/>
        <w:spacing w:line="520" w:lineRule="atLeas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8、技术培训</w:t>
      </w:r>
    </w:p>
    <w:p>
      <w:pPr>
        <w:numPr>
          <w:ilvl w:val="0"/>
          <w:numId w:val="0"/>
        </w:num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8.1中标人</w:t>
      </w:r>
      <w:r>
        <w:rPr>
          <w:rFonts w:hint="eastAsia" w:ascii="宋体" w:hAnsi="宋体" w:eastAsia="宋体" w:cs="宋体"/>
          <w:sz w:val="24"/>
          <w:highlight w:val="none"/>
        </w:rPr>
        <w:t>提供与供货有关的技术支持服务，为所供产品提供详细的技术参数和要求，并对所供货物实施监督、维护和修理反馈。</w:t>
      </w:r>
    </w:p>
    <w:p>
      <w:pPr>
        <w:numPr>
          <w:ilvl w:val="255"/>
          <w:numId w:val="0"/>
        </w:numPr>
        <w:adjustRightInd w:val="0"/>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lang w:val="en-US" w:eastAsia="zh-CN"/>
        </w:rPr>
        <w:t>8.2中标人</w:t>
      </w:r>
      <w:r>
        <w:rPr>
          <w:rFonts w:hint="eastAsia" w:ascii="宋体" w:hAnsi="宋体" w:eastAsia="宋体" w:cs="宋体"/>
          <w:sz w:val="24"/>
          <w:highlight w:val="none"/>
        </w:rPr>
        <w:t>应在</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指定的地点就所供产品的装卸、操作、维护及修理等对</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人员进行培训。</w:t>
      </w:r>
      <w:r>
        <w:rPr>
          <w:rFonts w:hint="eastAsia" w:ascii="宋体" w:hAnsi="宋体" w:eastAsia="宋体" w:cs="宋体"/>
          <w:sz w:val="24"/>
          <w:highlight w:val="none"/>
          <w:lang w:val="en-US" w:eastAsia="zh-CN"/>
        </w:rPr>
        <w:t>中标人</w:t>
      </w:r>
      <w:r>
        <w:rPr>
          <w:rFonts w:hint="eastAsia" w:ascii="宋体" w:hAnsi="宋体" w:eastAsia="宋体" w:cs="宋体"/>
          <w:bCs/>
          <w:sz w:val="24"/>
          <w:highlight w:val="none"/>
        </w:rPr>
        <w:t>需针对</w:t>
      </w:r>
      <w:r>
        <w:rPr>
          <w:rFonts w:hint="eastAsia" w:ascii="宋体" w:hAnsi="宋体" w:eastAsia="宋体" w:cs="宋体"/>
          <w:sz w:val="24"/>
          <w:highlight w:val="none"/>
          <w:lang w:eastAsia="zh-CN"/>
        </w:rPr>
        <w:t>采购人</w:t>
      </w:r>
      <w:r>
        <w:rPr>
          <w:rFonts w:hint="eastAsia" w:ascii="宋体" w:hAnsi="宋体" w:eastAsia="宋体" w:cs="宋体"/>
          <w:bCs/>
          <w:sz w:val="24"/>
          <w:highlight w:val="none"/>
        </w:rPr>
        <w:t>使用人员及工程人员设计培训方案，主要内容包括但不限于：使用及维护保养培训：设备的基本结构、性能、主要部件的构造及修理，日常使用保养与管理，常见故障的排除，紧急情况的处理等，直至能独立操作并附培训方案。</w:t>
      </w:r>
    </w:p>
    <w:p>
      <w:pPr>
        <w:keepNext w:val="0"/>
        <w:keepLines w:val="0"/>
        <w:pageBreakBefore w:val="0"/>
        <w:widowControl w:val="0"/>
        <w:kinsoku/>
        <w:wordWrap/>
        <w:overflowPunct/>
        <w:topLinePunct w:val="0"/>
        <w:autoSpaceDE/>
        <w:autoSpaceDN/>
        <w:bidi w:val="0"/>
        <w:adjustRightInd w:val="0"/>
        <w:snapToGrid w:val="0"/>
        <w:spacing w:line="520" w:lineRule="atLeas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9、违约责任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9.1中标人</w:t>
      </w:r>
      <w:r>
        <w:rPr>
          <w:rFonts w:hint="eastAsia" w:ascii="宋体" w:hAnsi="宋体" w:eastAsia="宋体" w:cs="宋体"/>
          <w:color w:val="000000"/>
          <w:kern w:val="0"/>
          <w:sz w:val="24"/>
          <w:highlight w:val="none"/>
        </w:rPr>
        <w:t>逾期交货</w:t>
      </w:r>
      <w:r>
        <w:rPr>
          <w:rFonts w:hint="eastAsia" w:ascii="宋体" w:hAnsi="宋体" w:eastAsia="宋体" w:cs="宋体"/>
          <w:bCs/>
          <w:sz w:val="24"/>
          <w:highlight w:val="none"/>
        </w:rPr>
        <w:t>，或逾期完成安装调试，或逾期通过验收的</w:t>
      </w:r>
      <w:r>
        <w:rPr>
          <w:rFonts w:hint="eastAsia" w:ascii="宋体" w:hAnsi="宋体" w:eastAsia="宋体" w:cs="宋体"/>
          <w:color w:val="000000"/>
          <w:kern w:val="0"/>
          <w:sz w:val="24"/>
          <w:highlight w:val="none"/>
        </w:rPr>
        <w:t>，每逾期一日须向</w:t>
      </w:r>
      <w:r>
        <w:rPr>
          <w:rFonts w:hint="eastAsia" w:ascii="宋体" w:hAnsi="宋体" w:eastAsia="宋体" w:cs="宋体"/>
          <w:color w:val="000000"/>
          <w:kern w:val="0"/>
          <w:sz w:val="24"/>
          <w:highlight w:val="none"/>
          <w:lang w:eastAsia="zh-CN"/>
        </w:rPr>
        <w:t>采购人</w:t>
      </w:r>
      <w:r>
        <w:rPr>
          <w:rFonts w:hint="eastAsia" w:ascii="宋体" w:hAnsi="宋体" w:eastAsia="宋体" w:cs="宋体"/>
          <w:color w:val="000000"/>
          <w:kern w:val="0"/>
          <w:sz w:val="24"/>
          <w:highlight w:val="none"/>
        </w:rPr>
        <w:t>支付合同总价款5‰的违约金，但该违约金原则上不超过合同总价款的30%。逾期超过30日的，</w:t>
      </w:r>
      <w:r>
        <w:rPr>
          <w:rFonts w:hint="eastAsia" w:ascii="宋体" w:hAnsi="宋体" w:eastAsia="宋体" w:cs="宋体"/>
          <w:color w:val="000000"/>
          <w:kern w:val="0"/>
          <w:sz w:val="24"/>
          <w:highlight w:val="none"/>
          <w:lang w:val="en-US" w:eastAsia="zh-CN"/>
        </w:rPr>
        <w:t>采购人</w:t>
      </w:r>
      <w:r>
        <w:rPr>
          <w:rFonts w:hint="eastAsia" w:ascii="宋体" w:hAnsi="宋体" w:eastAsia="宋体" w:cs="宋体"/>
          <w:color w:val="000000"/>
          <w:kern w:val="0"/>
          <w:sz w:val="24"/>
          <w:highlight w:val="none"/>
        </w:rPr>
        <w:t>有权单方解除合同，</w:t>
      </w:r>
      <w:r>
        <w:rPr>
          <w:rFonts w:hint="eastAsia" w:ascii="宋体" w:hAnsi="宋体" w:eastAsia="宋体" w:cs="宋体"/>
          <w:bCs/>
          <w:sz w:val="24"/>
          <w:highlight w:val="none"/>
          <w:lang w:eastAsia="zh-CN"/>
        </w:rPr>
        <w:t>中标人</w:t>
      </w:r>
      <w:r>
        <w:rPr>
          <w:rFonts w:hint="eastAsia" w:ascii="宋体" w:hAnsi="宋体" w:eastAsia="宋体" w:cs="宋体"/>
          <w:bCs/>
          <w:sz w:val="24"/>
          <w:highlight w:val="none"/>
        </w:rPr>
        <w:t>须向</w:t>
      </w:r>
      <w:r>
        <w:rPr>
          <w:rFonts w:hint="eastAsia" w:ascii="宋体" w:hAnsi="宋体" w:eastAsia="宋体" w:cs="宋体"/>
          <w:bCs/>
          <w:sz w:val="24"/>
          <w:highlight w:val="none"/>
          <w:lang w:eastAsia="zh-CN"/>
        </w:rPr>
        <w:t>采购人</w:t>
      </w:r>
      <w:r>
        <w:rPr>
          <w:rFonts w:hint="eastAsia" w:ascii="宋体" w:hAnsi="宋体" w:eastAsia="宋体" w:cs="宋体"/>
          <w:bCs/>
          <w:sz w:val="24"/>
          <w:highlight w:val="none"/>
        </w:rPr>
        <w:t>另行支付合同总金额10%的违约金</w:t>
      </w:r>
      <w:r>
        <w:rPr>
          <w:rFonts w:hint="eastAsia" w:ascii="宋体" w:hAnsi="宋体" w:eastAsia="宋体" w:cs="宋体"/>
          <w:color w:val="000000"/>
          <w:kern w:val="0"/>
          <w:sz w:val="24"/>
          <w:highlight w:val="none"/>
        </w:rPr>
        <w:t>，同时</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还须赔偿因此给</w:t>
      </w:r>
      <w:r>
        <w:rPr>
          <w:rFonts w:hint="eastAsia" w:ascii="宋体" w:hAnsi="宋体" w:eastAsia="宋体" w:cs="宋体"/>
          <w:color w:val="000000"/>
          <w:kern w:val="0"/>
          <w:sz w:val="24"/>
          <w:highlight w:val="none"/>
          <w:lang w:eastAsia="zh-CN"/>
        </w:rPr>
        <w:t>采购</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造成的全部损失。自</w:t>
      </w:r>
      <w:r>
        <w:rPr>
          <w:rFonts w:hint="eastAsia" w:ascii="宋体" w:hAnsi="宋体" w:eastAsia="宋体" w:cs="宋体"/>
          <w:color w:val="000000"/>
          <w:kern w:val="0"/>
          <w:sz w:val="24"/>
          <w:highlight w:val="none"/>
          <w:lang w:eastAsia="zh-CN"/>
        </w:rPr>
        <w:t>采购人</w:t>
      </w:r>
      <w:r>
        <w:rPr>
          <w:rFonts w:hint="eastAsia" w:ascii="宋体" w:hAnsi="宋体" w:eastAsia="宋体" w:cs="宋体"/>
          <w:color w:val="000000"/>
          <w:kern w:val="0"/>
          <w:sz w:val="24"/>
          <w:highlight w:val="none"/>
        </w:rPr>
        <w:t>向</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发出解除合同的通知之日起3日内</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向</w:t>
      </w:r>
      <w:r>
        <w:rPr>
          <w:rFonts w:hint="eastAsia" w:ascii="宋体" w:hAnsi="宋体" w:eastAsia="宋体" w:cs="宋体"/>
          <w:color w:val="000000"/>
          <w:kern w:val="0"/>
          <w:sz w:val="24"/>
          <w:highlight w:val="none"/>
          <w:lang w:eastAsia="zh-CN"/>
        </w:rPr>
        <w:t>采购人</w:t>
      </w:r>
      <w:r>
        <w:rPr>
          <w:rFonts w:hint="eastAsia" w:ascii="宋体" w:hAnsi="宋体" w:eastAsia="宋体" w:cs="宋体"/>
          <w:color w:val="000000"/>
          <w:kern w:val="0"/>
          <w:sz w:val="24"/>
          <w:highlight w:val="none"/>
        </w:rPr>
        <w:t>支付上述违约金和损失赔偿。</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color w:val="000000"/>
          <w:kern w:val="0"/>
          <w:sz w:val="24"/>
          <w:highlight w:val="none"/>
          <w:lang w:eastAsia="zh-CN"/>
        </w:rPr>
        <w:t>中标人</w:t>
      </w:r>
      <w:r>
        <w:rPr>
          <w:rFonts w:hint="eastAsia" w:ascii="宋体" w:hAnsi="宋体" w:eastAsia="宋体" w:cs="宋体"/>
          <w:sz w:val="24"/>
          <w:highlight w:val="none"/>
        </w:rPr>
        <w:t>所交付货物的</w:t>
      </w:r>
      <w:r>
        <w:rPr>
          <w:rFonts w:hint="eastAsia" w:ascii="宋体" w:hAnsi="宋体" w:eastAsia="宋体" w:cs="宋体"/>
          <w:bCs/>
          <w:sz w:val="24"/>
          <w:highlight w:val="none"/>
        </w:rPr>
        <w:t>型号、规格、质量、功能、技术参数</w:t>
      </w:r>
      <w:r>
        <w:rPr>
          <w:rFonts w:hint="eastAsia" w:ascii="宋体" w:hAnsi="宋体" w:eastAsia="宋体" w:cs="宋体"/>
          <w:sz w:val="24"/>
          <w:highlight w:val="none"/>
        </w:rPr>
        <w:t>等方面不能实质性满足招标（采购）文件要求或合同约定的，</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有权拒收，</w:t>
      </w:r>
      <w:r>
        <w:rPr>
          <w:rFonts w:hint="eastAsia" w:ascii="宋体" w:hAnsi="宋体" w:eastAsia="宋体" w:cs="宋体"/>
          <w:color w:val="000000"/>
          <w:kern w:val="0"/>
          <w:sz w:val="24"/>
          <w:highlight w:val="none"/>
          <w:lang w:eastAsia="zh-CN"/>
        </w:rPr>
        <w:t>中标人</w:t>
      </w:r>
      <w:r>
        <w:rPr>
          <w:rFonts w:hint="eastAsia" w:ascii="宋体" w:hAnsi="宋体" w:eastAsia="宋体" w:cs="宋体"/>
          <w:sz w:val="24"/>
          <w:highlight w:val="none"/>
        </w:rPr>
        <w:t>向</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支付合同总金额5%的违约金</w:t>
      </w:r>
      <w:r>
        <w:rPr>
          <w:rFonts w:hint="eastAsia" w:ascii="宋体" w:hAnsi="宋体" w:eastAsia="宋体" w:cs="宋体"/>
          <w:color w:val="000000"/>
          <w:kern w:val="0"/>
          <w:sz w:val="24"/>
          <w:highlight w:val="none"/>
        </w:rPr>
        <w:t>，违约金不足以弥补</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损失的，</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须继续赔偿，</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有权在履约保证金或应付货款中直接扣除该违约金/赔偿金。</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提供的货物、安装调试、运行经</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验收不合格的，</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应当无条件进行重新返修、返工制作、</w:t>
      </w:r>
      <w:r>
        <w:rPr>
          <w:rFonts w:hint="eastAsia" w:ascii="宋体" w:hAnsi="宋体" w:eastAsia="宋体" w:cs="宋体"/>
          <w:kern w:val="0"/>
          <w:sz w:val="24"/>
          <w:highlight w:val="none"/>
        </w:rPr>
        <w:t>更换，直至</w:t>
      </w:r>
      <w:r>
        <w:rPr>
          <w:rFonts w:hint="eastAsia" w:ascii="宋体" w:hAnsi="宋体" w:eastAsia="宋体" w:cs="宋体"/>
          <w:sz w:val="24"/>
          <w:highlight w:val="none"/>
          <w:lang w:eastAsia="zh-CN"/>
        </w:rPr>
        <w:t>采购人</w:t>
      </w:r>
      <w:r>
        <w:rPr>
          <w:rFonts w:hint="eastAsia" w:ascii="宋体" w:hAnsi="宋体" w:eastAsia="宋体" w:cs="宋体"/>
          <w:kern w:val="0"/>
          <w:sz w:val="24"/>
          <w:highlight w:val="none"/>
        </w:rPr>
        <w:t>验收合格为止，所需费用由</w:t>
      </w:r>
      <w:r>
        <w:rPr>
          <w:rFonts w:hint="eastAsia" w:ascii="宋体" w:hAnsi="宋体" w:eastAsia="宋体" w:cs="宋体"/>
          <w:color w:val="000000"/>
          <w:kern w:val="0"/>
          <w:sz w:val="24"/>
          <w:highlight w:val="none"/>
          <w:lang w:eastAsia="zh-CN"/>
        </w:rPr>
        <w:t>中标人</w:t>
      </w:r>
      <w:r>
        <w:rPr>
          <w:rFonts w:hint="eastAsia" w:ascii="宋体" w:hAnsi="宋体" w:eastAsia="宋体" w:cs="宋体"/>
          <w:kern w:val="0"/>
          <w:sz w:val="24"/>
          <w:highlight w:val="none"/>
        </w:rPr>
        <w:t>自行承担，同时，</w:t>
      </w:r>
      <w:r>
        <w:rPr>
          <w:rFonts w:hint="eastAsia" w:ascii="宋体" w:hAnsi="宋体" w:eastAsia="宋体" w:cs="宋体"/>
          <w:color w:val="000000"/>
          <w:kern w:val="0"/>
          <w:sz w:val="24"/>
          <w:highlight w:val="none"/>
          <w:lang w:eastAsia="zh-CN"/>
        </w:rPr>
        <w:t>中标人</w:t>
      </w:r>
      <w:r>
        <w:rPr>
          <w:rFonts w:hint="eastAsia" w:ascii="宋体" w:hAnsi="宋体" w:eastAsia="宋体" w:cs="宋体"/>
          <w:kern w:val="0"/>
          <w:sz w:val="24"/>
          <w:highlight w:val="none"/>
        </w:rPr>
        <w:t>应当承担相应的违约责任。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未按合同约定的期限向</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支付货款的，每逾期一日</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向</w:t>
      </w:r>
      <w:r>
        <w:rPr>
          <w:rFonts w:hint="eastAsia" w:ascii="宋体" w:hAnsi="宋体" w:eastAsia="宋体" w:cs="宋体"/>
          <w:color w:val="000000"/>
          <w:kern w:val="0"/>
          <w:sz w:val="24"/>
          <w:highlight w:val="none"/>
          <w:lang w:eastAsia="zh-CN"/>
        </w:rPr>
        <w:t>中标人</w:t>
      </w:r>
      <w:r>
        <w:rPr>
          <w:rFonts w:hint="eastAsia" w:ascii="宋体" w:hAnsi="宋体" w:eastAsia="宋体" w:cs="宋体"/>
          <w:color w:val="000000"/>
          <w:kern w:val="0"/>
          <w:sz w:val="24"/>
          <w:highlight w:val="none"/>
        </w:rPr>
        <w:t>支付欠款金额万分之一的违约金，但该违约金原则上不超过欠款金额的30%。如因政府有关部门审批超期等原因导致</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付款延迟的，不视为</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违约，</w:t>
      </w:r>
      <w:r>
        <w:rPr>
          <w:rFonts w:hint="eastAsia" w:ascii="宋体" w:hAnsi="宋体" w:eastAsia="宋体" w:cs="宋体"/>
          <w:sz w:val="24"/>
          <w:highlight w:val="none"/>
          <w:lang w:eastAsia="zh-CN"/>
        </w:rPr>
        <w:t>采购人</w:t>
      </w:r>
      <w:r>
        <w:rPr>
          <w:rFonts w:hint="eastAsia" w:ascii="宋体" w:hAnsi="宋体" w:eastAsia="宋体" w:cs="宋体"/>
          <w:color w:val="000000"/>
          <w:kern w:val="0"/>
          <w:sz w:val="24"/>
          <w:highlight w:val="none"/>
        </w:rPr>
        <w:t>不承担上述违约责任。</w:t>
      </w:r>
    </w:p>
    <w:p>
      <w:pPr>
        <w:keepNext w:val="0"/>
        <w:keepLines w:val="0"/>
        <w:pageBreakBefore w:val="0"/>
        <w:tabs>
          <w:tab w:val="left" w:pos="142"/>
        </w:tabs>
        <w:kinsoku/>
        <w:wordWrap/>
        <w:overflowPunct/>
        <w:topLinePunct w:val="0"/>
        <w:autoSpaceDE/>
        <w:autoSpaceDN/>
        <w:bidi w:val="0"/>
        <w:adjustRightInd w:val="0"/>
        <w:snapToGrid w:val="0"/>
        <w:spacing w:line="360" w:lineRule="auto"/>
        <w:ind w:firstLine="480" w:firstLineChars="200"/>
        <w:textAlignment w:val="auto"/>
        <w:rPr>
          <w:highlight w:val="none"/>
        </w:rPr>
      </w:pPr>
      <w:r>
        <w:rPr>
          <w:rFonts w:hint="eastAsia" w:asciiTheme="minorEastAsia" w:hAnsiTheme="minorEastAsia" w:cstheme="minorEastAsia"/>
          <w:sz w:val="24"/>
          <w:highlight w:val="none"/>
        </w:rPr>
        <w:t>5、未经</w:t>
      </w:r>
      <w:r>
        <w:rPr>
          <w:rFonts w:hint="eastAsia" w:ascii="宋体" w:hAnsi="宋体" w:eastAsia="宋体" w:cs="宋体"/>
          <w:sz w:val="24"/>
          <w:highlight w:val="none"/>
          <w:lang w:eastAsia="zh-CN"/>
        </w:rPr>
        <w:t>采购人</w:t>
      </w:r>
      <w:r>
        <w:rPr>
          <w:rFonts w:hint="eastAsia" w:asciiTheme="minorEastAsia" w:hAnsiTheme="minorEastAsia" w:cstheme="minorEastAsia"/>
          <w:sz w:val="24"/>
          <w:highlight w:val="none"/>
        </w:rPr>
        <w:t>书面同意，</w:t>
      </w:r>
      <w:r>
        <w:rPr>
          <w:rFonts w:hint="eastAsia" w:ascii="宋体" w:hAnsi="宋体" w:eastAsia="宋体" w:cs="宋体"/>
          <w:color w:val="000000"/>
          <w:kern w:val="0"/>
          <w:sz w:val="24"/>
          <w:highlight w:val="none"/>
          <w:lang w:eastAsia="zh-CN"/>
        </w:rPr>
        <w:t>中标人</w:t>
      </w:r>
      <w:r>
        <w:rPr>
          <w:rFonts w:hint="eastAsia" w:asciiTheme="minorEastAsia" w:hAnsiTheme="minorEastAsia" w:cstheme="minorEastAsia"/>
          <w:sz w:val="24"/>
          <w:highlight w:val="none"/>
        </w:rPr>
        <w:t>不得将其在本合同项下的权利或义务全部或部分转让给任何第三方，不得将本项目下的服务转包或者分包，否则</w:t>
      </w:r>
      <w:r>
        <w:rPr>
          <w:rFonts w:hint="eastAsia" w:ascii="宋体" w:hAnsi="宋体" w:eastAsia="宋体" w:cs="宋体"/>
          <w:sz w:val="24"/>
          <w:highlight w:val="none"/>
          <w:lang w:eastAsia="zh-CN"/>
        </w:rPr>
        <w:t>采购人</w:t>
      </w:r>
      <w:r>
        <w:rPr>
          <w:rFonts w:hint="eastAsia" w:asciiTheme="minorEastAsia" w:hAnsiTheme="minorEastAsia" w:cstheme="minorEastAsia"/>
          <w:sz w:val="24"/>
          <w:highlight w:val="none"/>
        </w:rPr>
        <w:t>有权单方解除本合同，</w:t>
      </w:r>
      <w:r>
        <w:rPr>
          <w:rFonts w:hint="eastAsia" w:ascii="宋体" w:hAnsi="宋体" w:eastAsia="宋体" w:cs="宋体"/>
          <w:color w:val="000000"/>
          <w:kern w:val="0"/>
          <w:sz w:val="24"/>
          <w:highlight w:val="none"/>
          <w:lang w:eastAsia="zh-CN"/>
        </w:rPr>
        <w:t>中标人</w:t>
      </w:r>
      <w:r>
        <w:rPr>
          <w:rFonts w:hint="eastAsia" w:asciiTheme="minorEastAsia" w:hAnsiTheme="minorEastAsia" w:cstheme="minorEastAsia"/>
          <w:sz w:val="24"/>
          <w:highlight w:val="none"/>
        </w:rPr>
        <w:t>须退还</w:t>
      </w:r>
      <w:r>
        <w:rPr>
          <w:rFonts w:hint="eastAsia" w:ascii="宋体" w:hAnsi="宋体" w:eastAsia="宋体" w:cs="宋体"/>
          <w:sz w:val="24"/>
          <w:highlight w:val="none"/>
          <w:lang w:eastAsia="zh-CN"/>
        </w:rPr>
        <w:t>采购人</w:t>
      </w:r>
      <w:r>
        <w:rPr>
          <w:rFonts w:hint="eastAsia" w:asciiTheme="minorEastAsia" w:hAnsiTheme="minorEastAsia" w:cstheme="minorEastAsia"/>
          <w:sz w:val="24"/>
          <w:highlight w:val="none"/>
        </w:rPr>
        <w:t>已付的全部款项，并向</w:t>
      </w:r>
      <w:r>
        <w:rPr>
          <w:rFonts w:hint="eastAsia" w:ascii="宋体" w:hAnsi="宋体" w:eastAsia="宋体" w:cs="宋体"/>
          <w:sz w:val="24"/>
          <w:highlight w:val="none"/>
          <w:lang w:eastAsia="zh-CN"/>
        </w:rPr>
        <w:t>采购人</w:t>
      </w:r>
      <w:r>
        <w:rPr>
          <w:rFonts w:hint="eastAsia" w:asciiTheme="minorEastAsia" w:hAnsiTheme="minorEastAsia" w:cstheme="minorEastAsia"/>
          <w:sz w:val="24"/>
          <w:highlight w:val="none"/>
        </w:rPr>
        <w:t>支付本合同总金额30%的违约金。</w:t>
      </w:r>
    </w:p>
    <w:p>
      <w:pPr>
        <w:pStyle w:val="6"/>
        <w:keepNext w:val="0"/>
        <w:keepLines w:val="0"/>
        <w:pageBreakBefore w:val="0"/>
        <w:kinsoku/>
        <w:wordWrap/>
        <w:overflowPunct/>
        <w:topLinePunct w:val="0"/>
        <w:autoSpaceDE/>
        <w:autoSpaceDN/>
        <w:bidi w:val="0"/>
        <w:adjustRightInd w:val="0"/>
        <w:snapToGrid w:val="0"/>
        <w:spacing w:after="0" w:afterLines="0" w:line="360" w:lineRule="auto"/>
        <w:ind w:firstLine="480" w:firstLineChars="200"/>
        <w:textAlignment w:val="auto"/>
        <w:rPr>
          <w:highlight w:val="none"/>
        </w:rPr>
      </w:pPr>
      <w:r>
        <w:rPr>
          <w:rFonts w:hint="eastAsia" w:ascii="宋体" w:hAnsi="宋体" w:eastAsia="宋体" w:cs="宋体"/>
          <w:b w:val="0"/>
          <w:bCs w:val="0"/>
          <w:sz w:val="24"/>
          <w:highlight w:val="none"/>
        </w:rPr>
        <w:t>6、</w:t>
      </w:r>
      <w:r>
        <w:rPr>
          <w:rFonts w:hint="eastAsia" w:ascii="宋体" w:hAnsi="宋体" w:eastAsia="宋体" w:cs="宋体"/>
          <w:color w:val="000000"/>
          <w:kern w:val="0"/>
          <w:sz w:val="24"/>
          <w:highlight w:val="none"/>
          <w:lang w:eastAsia="zh-CN"/>
        </w:rPr>
        <w:t>中标人</w:t>
      </w:r>
      <w:r>
        <w:rPr>
          <w:rFonts w:hint="eastAsia" w:ascii="宋体" w:hAnsi="宋体" w:eastAsia="宋体" w:cs="宋体"/>
          <w:b w:val="0"/>
          <w:bCs w:val="0"/>
          <w:sz w:val="24"/>
          <w:highlight w:val="none"/>
        </w:rPr>
        <w:t>保证提供的货物及服务不会产生因第三方提出的包括但不限于侵犯其专利权、商标权、工业设计权等知识产权或侵犯其所有权、抵押权等物权及其它权利而引发的纠纷。若有纠纷的，</w:t>
      </w:r>
      <w:r>
        <w:rPr>
          <w:rFonts w:hint="eastAsia" w:ascii="宋体" w:hAnsi="宋体" w:eastAsia="宋体" w:cs="宋体"/>
          <w:color w:val="000000"/>
          <w:kern w:val="0"/>
          <w:sz w:val="24"/>
          <w:highlight w:val="none"/>
          <w:lang w:eastAsia="zh-CN"/>
        </w:rPr>
        <w:t>中标人</w:t>
      </w:r>
      <w:r>
        <w:rPr>
          <w:rFonts w:hint="eastAsia" w:ascii="宋体" w:hAnsi="宋体" w:eastAsia="宋体" w:cs="宋体"/>
          <w:b w:val="0"/>
          <w:bCs w:val="0"/>
          <w:sz w:val="24"/>
          <w:highlight w:val="none"/>
        </w:rPr>
        <w:t>应承担全部责任，并赔偿给</w:t>
      </w:r>
      <w:r>
        <w:rPr>
          <w:rFonts w:hint="eastAsia" w:ascii="宋体" w:hAnsi="宋体" w:eastAsia="宋体" w:cs="宋体"/>
          <w:sz w:val="24"/>
          <w:highlight w:val="none"/>
          <w:lang w:eastAsia="zh-CN"/>
        </w:rPr>
        <w:t>采购人</w:t>
      </w:r>
      <w:r>
        <w:rPr>
          <w:rFonts w:hint="eastAsia" w:ascii="宋体" w:hAnsi="宋体" w:eastAsia="宋体" w:cs="宋体"/>
          <w:b w:val="0"/>
          <w:bCs w:val="0"/>
          <w:sz w:val="24"/>
          <w:highlight w:val="none"/>
        </w:rPr>
        <w:t>及第三方造成的全部损失。</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outlineLvl w:val="2"/>
        <w:rPr>
          <w:rFonts w:ascii="宋体" w:hAnsi="宋体" w:eastAsia="宋体" w:cs="宋体"/>
          <w:sz w:val="24"/>
          <w:highlight w:val="none"/>
        </w:rPr>
      </w:pPr>
      <w:r>
        <w:rPr>
          <w:rFonts w:hint="eastAsia" w:ascii="宋体" w:hAnsi="宋体" w:eastAsia="宋体" w:cs="宋体"/>
          <w:color w:val="000000"/>
          <w:kern w:val="0"/>
          <w:sz w:val="24"/>
          <w:highlight w:val="none"/>
        </w:rPr>
        <w:t>7、</w:t>
      </w:r>
      <w:r>
        <w:rPr>
          <w:rFonts w:hint="eastAsia" w:ascii="宋体" w:hAnsi="宋体" w:eastAsia="宋体" w:cs="宋体"/>
          <w:color w:val="000000"/>
          <w:kern w:val="0"/>
          <w:sz w:val="24"/>
          <w:highlight w:val="none"/>
          <w:lang w:eastAsia="zh-CN"/>
        </w:rPr>
        <w:t>中标人</w:t>
      </w:r>
      <w:r>
        <w:rPr>
          <w:rFonts w:hint="eastAsia" w:ascii="宋体" w:hAnsi="宋体" w:eastAsia="宋体" w:cs="宋体"/>
          <w:sz w:val="24"/>
          <w:highlight w:val="none"/>
        </w:rPr>
        <w:t>所交付的货物、工程或服务不符合</w:t>
      </w:r>
      <w:r>
        <w:rPr>
          <w:rFonts w:hint="eastAsia" w:ascii="宋体" w:hAnsi="宋体" w:eastAsia="宋体" w:cs="宋体"/>
          <w:sz w:val="24"/>
          <w:highlight w:val="none"/>
          <w:lang w:val="en-US" w:eastAsia="zh-CN"/>
        </w:rPr>
        <w:t>招标（采购）文件要求或</w:t>
      </w:r>
      <w:r>
        <w:rPr>
          <w:rFonts w:hint="eastAsia" w:ascii="宋体" w:hAnsi="宋体" w:eastAsia="宋体" w:cs="宋体"/>
          <w:sz w:val="24"/>
          <w:highlight w:val="none"/>
        </w:rPr>
        <w:t>其投标承诺的，或在投标阶段存在为中标而盲目虚假承诺、低价恶性竞争情形的，或在履约阶段通过偷工减料、以次充好而获取利润的，</w:t>
      </w:r>
      <w:r>
        <w:rPr>
          <w:rFonts w:hint="eastAsia" w:ascii="宋体" w:hAnsi="宋体" w:eastAsia="宋体" w:cs="宋体"/>
          <w:sz w:val="24"/>
          <w:highlight w:val="none"/>
          <w:lang w:eastAsia="zh-CN"/>
        </w:rPr>
        <w:t>采购人</w:t>
      </w:r>
      <w:r>
        <w:rPr>
          <w:rFonts w:hint="eastAsia" w:ascii="宋体" w:hAnsi="宋体" w:eastAsia="宋体" w:cs="宋体"/>
          <w:sz w:val="24"/>
          <w:highlight w:val="none"/>
        </w:rPr>
        <w:t>有权</w:t>
      </w:r>
      <w:r>
        <w:rPr>
          <w:rFonts w:hint="eastAsia" w:ascii="宋体" w:hAnsi="宋体" w:eastAsia="宋体" w:cs="宋体"/>
          <w:sz w:val="24"/>
          <w:highlight w:val="none"/>
          <w:lang w:val="en-US" w:eastAsia="zh-CN"/>
        </w:rPr>
        <w:t>不予验收或拒绝付款</w:t>
      </w:r>
      <w:r>
        <w:rPr>
          <w:rFonts w:hint="eastAsia" w:ascii="宋体" w:hAnsi="宋体" w:eastAsia="宋体" w:cs="宋体"/>
          <w:sz w:val="24"/>
          <w:highlight w:val="none"/>
        </w:rPr>
        <w:t>，因</w:t>
      </w:r>
      <w:r>
        <w:rPr>
          <w:rFonts w:hint="eastAsia" w:ascii="宋体" w:hAnsi="宋体" w:eastAsia="宋体" w:cs="宋体"/>
          <w:color w:val="000000"/>
          <w:kern w:val="0"/>
          <w:sz w:val="24"/>
          <w:highlight w:val="none"/>
          <w:lang w:eastAsia="zh-CN"/>
        </w:rPr>
        <w:t>中标人</w:t>
      </w:r>
      <w:r>
        <w:rPr>
          <w:rFonts w:hint="eastAsia" w:ascii="宋体" w:hAnsi="宋体" w:eastAsia="宋体" w:cs="宋体"/>
          <w:sz w:val="24"/>
          <w:highlight w:val="none"/>
        </w:rPr>
        <w:t>上述行为导致的全部后果，一切经济及法律责任均由</w:t>
      </w:r>
      <w:r>
        <w:rPr>
          <w:rFonts w:hint="eastAsia" w:ascii="宋体" w:hAnsi="宋体" w:eastAsia="宋体" w:cs="宋体"/>
          <w:color w:val="000000"/>
          <w:kern w:val="0"/>
          <w:sz w:val="24"/>
          <w:highlight w:val="none"/>
          <w:lang w:eastAsia="zh-CN"/>
        </w:rPr>
        <w:t>中标人</w:t>
      </w:r>
      <w:r>
        <w:rPr>
          <w:rFonts w:hint="eastAsia" w:ascii="宋体" w:hAnsi="宋体" w:eastAsia="宋体" w:cs="宋体"/>
          <w:sz w:val="24"/>
          <w:highlight w:val="none"/>
        </w:rPr>
        <w:t>承担</w:t>
      </w:r>
      <w:r>
        <w:rPr>
          <w:rFonts w:hint="eastAsia" w:ascii="宋体" w:hAnsi="宋体" w:eastAsia="宋体" w:cs="宋体"/>
          <w:color w:val="000000"/>
          <w:kern w:val="0"/>
          <w:sz w:val="24"/>
          <w:highlight w:val="none"/>
        </w:rPr>
        <w:t>。</w:t>
      </w:r>
    </w:p>
    <w:p>
      <w:pPr>
        <w:pStyle w:val="8"/>
        <w:tabs>
          <w:tab w:val="left" w:pos="540"/>
        </w:tabs>
        <w:adjustRightInd w:val="0"/>
        <w:snapToGrid w:val="0"/>
        <w:spacing w:line="360" w:lineRule="auto"/>
        <w:rPr>
          <w:rFonts w:hint="eastAsia" w:ascii="宋体" w:hAnsi="宋体" w:eastAsia="宋体" w:cs="宋体"/>
          <w:b/>
          <w:color w:val="FF0000"/>
          <w:sz w:val="24"/>
          <w:szCs w:val="24"/>
          <w:highlight w:val="none"/>
          <w:lang w:val="en-US" w:eastAsia="zh-CN"/>
        </w:rPr>
      </w:pPr>
    </w:p>
    <w:p>
      <w:pPr>
        <w:spacing w:line="540" w:lineRule="exact"/>
        <w:rPr>
          <w:rFonts w:ascii="Times New Roman" w:hAnsi="Times New Roman" w:eastAsia="仿宋_GB2312" w:cs="Times New Roman"/>
          <w:sz w:val="28"/>
          <w:szCs w:val="28"/>
          <w:highlight w:val="none"/>
        </w:rPr>
      </w:pPr>
    </w:p>
    <w:p>
      <w:pPr>
        <w:spacing w:line="540" w:lineRule="exact"/>
        <w:jc w:val="left"/>
        <w:rPr>
          <w:rFonts w:ascii="Times New Roman" w:hAnsi="Times New Roman" w:eastAsia="仿宋_GB2312" w:cs="Times New Roman"/>
          <w:sz w:val="22"/>
          <w:szCs w:val="22"/>
          <w:highlight w:val="none"/>
        </w:rPr>
      </w:pP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0323E"/>
    <w:multiLevelType w:val="singleLevel"/>
    <w:tmpl w:val="90B0323E"/>
    <w:lvl w:ilvl="0" w:tentative="0">
      <w:start w:val="1"/>
      <w:numFmt w:val="decimal"/>
      <w:suff w:val="nothing"/>
      <w:lvlText w:val="%1．"/>
      <w:lvlJc w:val="left"/>
      <w:pPr>
        <w:ind w:left="0" w:firstLine="400"/>
      </w:pPr>
      <w:rPr>
        <w:rFonts w:hint="default"/>
      </w:rPr>
    </w:lvl>
  </w:abstractNum>
  <w:abstractNum w:abstractNumId="1">
    <w:nsid w:val="912B05B1"/>
    <w:multiLevelType w:val="singleLevel"/>
    <w:tmpl w:val="912B05B1"/>
    <w:lvl w:ilvl="0" w:tentative="0">
      <w:start w:val="1"/>
      <w:numFmt w:val="decimal"/>
      <w:suff w:val="nothing"/>
      <w:lvlText w:val="%1．"/>
      <w:lvlJc w:val="left"/>
      <w:pPr>
        <w:ind w:left="0" w:firstLine="400"/>
      </w:pPr>
      <w:rPr>
        <w:rFonts w:hint="default"/>
      </w:rPr>
    </w:lvl>
  </w:abstractNum>
  <w:abstractNum w:abstractNumId="2">
    <w:nsid w:val="E3BB89A7"/>
    <w:multiLevelType w:val="singleLevel"/>
    <w:tmpl w:val="E3BB89A7"/>
    <w:lvl w:ilvl="0" w:tentative="0">
      <w:start w:val="1"/>
      <w:numFmt w:val="decimal"/>
      <w:suff w:val="nothing"/>
      <w:lvlText w:val="%1．"/>
      <w:lvlJc w:val="left"/>
      <w:pPr>
        <w:ind w:left="20" w:firstLine="400"/>
      </w:pPr>
      <w:rPr>
        <w:rFonts w:hint="default"/>
      </w:rPr>
    </w:lvl>
  </w:abstractNum>
  <w:abstractNum w:abstractNumId="3">
    <w:nsid w:val="E5EEB648"/>
    <w:multiLevelType w:val="singleLevel"/>
    <w:tmpl w:val="E5EEB648"/>
    <w:lvl w:ilvl="0" w:tentative="0">
      <w:start w:val="1"/>
      <w:numFmt w:val="decimal"/>
      <w:lvlText w:val="%1."/>
      <w:lvlJc w:val="left"/>
      <w:pPr>
        <w:ind w:left="425" w:hanging="425"/>
      </w:pPr>
      <w:rPr>
        <w:rFonts w:hint="default"/>
      </w:rPr>
    </w:lvl>
  </w:abstractNum>
  <w:abstractNum w:abstractNumId="4">
    <w:nsid w:val="F56B1C08"/>
    <w:multiLevelType w:val="singleLevel"/>
    <w:tmpl w:val="F56B1C08"/>
    <w:lvl w:ilvl="0" w:tentative="0">
      <w:start w:val="1"/>
      <w:numFmt w:val="chineseCounting"/>
      <w:suff w:val="nothing"/>
      <w:lvlText w:val="%1、"/>
      <w:lvlJc w:val="left"/>
      <w:pPr>
        <w:ind w:left="0" w:firstLine="420"/>
      </w:pPr>
      <w:rPr>
        <w:rFonts w:hint="eastAsia"/>
      </w:rPr>
    </w:lvl>
  </w:abstractNum>
  <w:abstractNum w:abstractNumId="5">
    <w:nsid w:val="0000000F"/>
    <w:multiLevelType w:val="singleLevel"/>
    <w:tmpl w:val="0000000F"/>
    <w:lvl w:ilvl="0" w:tentative="0">
      <w:start w:val="2"/>
      <w:numFmt w:val="chineseCounting"/>
      <w:suff w:val="nothing"/>
      <w:lvlText w:val="%1、"/>
      <w:lvlJc w:val="left"/>
      <w:rPr>
        <w:rFonts w:hint="eastAsia"/>
      </w:rPr>
    </w:lvl>
  </w:abstractNum>
  <w:abstractNum w:abstractNumId="6">
    <w:nsid w:val="0E75554E"/>
    <w:multiLevelType w:val="singleLevel"/>
    <w:tmpl w:val="0E75554E"/>
    <w:lvl w:ilvl="0" w:tentative="0">
      <w:start w:val="1"/>
      <w:numFmt w:val="decimal"/>
      <w:lvlText w:val="%1."/>
      <w:lvlJc w:val="left"/>
      <w:pPr>
        <w:ind w:left="425" w:hanging="425"/>
      </w:pPr>
      <w:rPr>
        <w:rFonts w:hint="default"/>
      </w:rPr>
    </w:lvl>
  </w:abstractNum>
  <w:abstractNum w:abstractNumId="7">
    <w:nsid w:val="3ABC9A88"/>
    <w:multiLevelType w:val="singleLevel"/>
    <w:tmpl w:val="3ABC9A88"/>
    <w:lvl w:ilvl="0" w:tentative="0">
      <w:start w:val="1"/>
      <w:numFmt w:val="decimal"/>
      <w:suff w:val="nothing"/>
      <w:lvlText w:val="%1．"/>
      <w:lvlJc w:val="left"/>
      <w:pPr>
        <w:ind w:left="0" w:firstLine="400"/>
      </w:pPr>
      <w:rPr>
        <w:rFonts w:hint="default"/>
      </w:rPr>
    </w:lvl>
  </w:abstractNum>
  <w:abstractNum w:abstractNumId="8">
    <w:nsid w:val="3DF8E545"/>
    <w:multiLevelType w:val="singleLevel"/>
    <w:tmpl w:val="3DF8E545"/>
    <w:lvl w:ilvl="0" w:tentative="0">
      <w:start w:val="1"/>
      <w:numFmt w:val="decimal"/>
      <w:lvlText w:val="%1."/>
      <w:lvlJc w:val="left"/>
      <w:pPr>
        <w:ind w:left="425" w:hanging="425"/>
      </w:pPr>
      <w:rPr>
        <w:rFonts w:hint="default"/>
      </w:rPr>
    </w:lvl>
  </w:abstractNum>
  <w:abstractNum w:abstractNumId="9">
    <w:nsid w:val="49A8936B"/>
    <w:multiLevelType w:val="singleLevel"/>
    <w:tmpl w:val="49A8936B"/>
    <w:lvl w:ilvl="0" w:tentative="0">
      <w:start w:val="1"/>
      <w:numFmt w:val="decimal"/>
      <w:suff w:val="nothing"/>
      <w:lvlText w:val="%1．"/>
      <w:lvlJc w:val="left"/>
      <w:pPr>
        <w:ind w:left="0" w:firstLine="400"/>
      </w:pPr>
      <w:rPr>
        <w:rFonts w:hint="default"/>
      </w:rPr>
    </w:lvl>
  </w:abstractNum>
  <w:abstractNum w:abstractNumId="10">
    <w:nsid w:val="5B870740"/>
    <w:multiLevelType w:val="singleLevel"/>
    <w:tmpl w:val="5B870740"/>
    <w:lvl w:ilvl="0" w:tentative="0">
      <w:start w:val="2"/>
      <w:numFmt w:val="chineseCounting"/>
      <w:suff w:val="space"/>
      <w:lvlText w:val="第%1部分"/>
      <w:lvlJc w:val="left"/>
      <w:rPr>
        <w:rFonts w:hint="eastAsia"/>
      </w:rPr>
    </w:lvl>
  </w:abstractNum>
  <w:abstractNum w:abstractNumId="11">
    <w:nsid w:val="5D09E01B"/>
    <w:multiLevelType w:val="singleLevel"/>
    <w:tmpl w:val="5D09E01B"/>
    <w:lvl w:ilvl="0" w:tentative="0">
      <w:start w:val="1"/>
      <w:numFmt w:val="decimal"/>
      <w:suff w:val="nothing"/>
      <w:lvlText w:val="%1、"/>
      <w:lvlJc w:val="left"/>
    </w:lvl>
  </w:abstractNum>
  <w:abstractNum w:abstractNumId="12">
    <w:nsid w:val="5FBDD496"/>
    <w:multiLevelType w:val="singleLevel"/>
    <w:tmpl w:val="5FBDD496"/>
    <w:lvl w:ilvl="0" w:tentative="0">
      <w:start w:val="1"/>
      <w:numFmt w:val="decimal"/>
      <w:suff w:val="nothing"/>
      <w:lvlText w:val="%1．"/>
      <w:lvlJc w:val="left"/>
      <w:pPr>
        <w:ind w:left="0" w:firstLine="400"/>
      </w:pPr>
      <w:rPr>
        <w:rFonts w:hint="default"/>
      </w:rPr>
    </w:lvl>
  </w:abstractNum>
  <w:num w:numId="1">
    <w:abstractNumId w:val="1"/>
  </w:num>
  <w:num w:numId="2">
    <w:abstractNumId w:val="5"/>
  </w:num>
  <w:num w:numId="3">
    <w:abstractNumId w:val="12"/>
  </w:num>
  <w:num w:numId="4">
    <w:abstractNumId w:val="10"/>
  </w:num>
  <w:num w:numId="5">
    <w:abstractNumId w:val="9"/>
  </w:num>
  <w:num w:numId="6">
    <w:abstractNumId w:val="4"/>
  </w:num>
  <w:num w:numId="7">
    <w:abstractNumId w:val="0"/>
  </w:num>
  <w:num w:numId="8">
    <w:abstractNumId w:val="3"/>
  </w:num>
  <w:num w:numId="9">
    <w:abstractNumId w:val="8"/>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YjMzY2Y3NjdjMGM1NDJiYjI1MGE2MWEyNTVkNTYifQ=="/>
  </w:docVars>
  <w:rsids>
    <w:rsidRoot w:val="4FFC5FA2"/>
    <w:rsid w:val="000424B0"/>
    <w:rsid w:val="000624C6"/>
    <w:rsid w:val="001C35EF"/>
    <w:rsid w:val="00415A24"/>
    <w:rsid w:val="006A471C"/>
    <w:rsid w:val="006C0F45"/>
    <w:rsid w:val="00A23411"/>
    <w:rsid w:val="02B018D2"/>
    <w:rsid w:val="03FE7C11"/>
    <w:rsid w:val="05C30855"/>
    <w:rsid w:val="062B3C2B"/>
    <w:rsid w:val="063A0DB9"/>
    <w:rsid w:val="07207949"/>
    <w:rsid w:val="08A806F8"/>
    <w:rsid w:val="08B6005B"/>
    <w:rsid w:val="0AF34F6D"/>
    <w:rsid w:val="0B705620"/>
    <w:rsid w:val="0C222435"/>
    <w:rsid w:val="0E352036"/>
    <w:rsid w:val="0F7B1B53"/>
    <w:rsid w:val="109F26E4"/>
    <w:rsid w:val="14E07226"/>
    <w:rsid w:val="16150AC2"/>
    <w:rsid w:val="177C0531"/>
    <w:rsid w:val="17A902FB"/>
    <w:rsid w:val="17C60361"/>
    <w:rsid w:val="18320B61"/>
    <w:rsid w:val="1AB64061"/>
    <w:rsid w:val="1E096312"/>
    <w:rsid w:val="20D75FA7"/>
    <w:rsid w:val="20DB2F52"/>
    <w:rsid w:val="28804CE4"/>
    <w:rsid w:val="2B953293"/>
    <w:rsid w:val="2E9462E5"/>
    <w:rsid w:val="2F29437E"/>
    <w:rsid w:val="2F7B77EF"/>
    <w:rsid w:val="32AD00B9"/>
    <w:rsid w:val="352D49CD"/>
    <w:rsid w:val="370B0B2C"/>
    <w:rsid w:val="3B0F02EA"/>
    <w:rsid w:val="3B4A6275"/>
    <w:rsid w:val="3B7B4185"/>
    <w:rsid w:val="3BDB4DF3"/>
    <w:rsid w:val="3C330EEC"/>
    <w:rsid w:val="420B225C"/>
    <w:rsid w:val="420B6603"/>
    <w:rsid w:val="4526655B"/>
    <w:rsid w:val="458251BD"/>
    <w:rsid w:val="47020F3B"/>
    <w:rsid w:val="474D2607"/>
    <w:rsid w:val="47933067"/>
    <w:rsid w:val="48275E04"/>
    <w:rsid w:val="4A1C3C31"/>
    <w:rsid w:val="4DF407BC"/>
    <w:rsid w:val="4FFC5FA2"/>
    <w:rsid w:val="505856E3"/>
    <w:rsid w:val="508D3789"/>
    <w:rsid w:val="53460CB6"/>
    <w:rsid w:val="540E0EB6"/>
    <w:rsid w:val="55D65805"/>
    <w:rsid w:val="56FA2A30"/>
    <w:rsid w:val="57D43243"/>
    <w:rsid w:val="59274D06"/>
    <w:rsid w:val="5F9E777B"/>
    <w:rsid w:val="608E2BDB"/>
    <w:rsid w:val="60B06C30"/>
    <w:rsid w:val="619968FB"/>
    <w:rsid w:val="62355AF7"/>
    <w:rsid w:val="62EA2ED9"/>
    <w:rsid w:val="64697F7E"/>
    <w:rsid w:val="65B958B6"/>
    <w:rsid w:val="665451F5"/>
    <w:rsid w:val="66E433AB"/>
    <w:rsid w:val="6882064F"/>
    <w:rsid w:val="68A14D62"/>
    <w:rsid w:val="691D3680"/>
    <w:rsid w:val="6A37131C"/>
    <w:rsid w:val="6BC23EED"/>
    <w:rsid w:val="6CDB5633"/>
    <w:rsid w:val="6F463A56"/>
    <w:rsid w:val="70866F42"/>
    <w:rsid w:val="724F3298"/>
    <w:rsid w:val="74920103"/>
    <w:rsid w:val="75337288"/>
    <w:rsid w:val="774F6E26"/>
    <w:rsid w:val="7BB865F7"/>
    <w:rsid w:val="7C06401A"/>
    <w:rsid w:val="7C9C425A"/>
    <w:rsid w:val="7D34021E"/>
    <w:rsid w:val="7DFF2EA4"/>
    <w:rsid w:val="7F46351C"/>
    <w:rsid w:val="7FD7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spacing w:beforeAutospacing="0" w:afterAutospacing="0"/>
      <w:ind w:firstLine="0" w:firstLineChars="0"/>
      <w:jc w:val="left"/>
      <w:outlineLvl w:val="0"/>
    </w:pPr>
    <w:rPr>
      <w:rFonts w:hint="eastAsia" w:ascii="宋体" w:hAnsi="宋体" w:eastAsia="黑体"/>
      <w:b/>
      <w:kern w:val="44"/>
      <w:sz w:val="32"/>
      <w:szCs w:val="4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style>
  <w:style w:type="paragraph" w:styleId="4">
    <w:name w:val="Normal Indent"/>
    <w:basedOn w:val="1"/>
    <w:autoRedefine/>
    <w:qFormat/>
    <w:uiPriority w:val="0"/>
    <w:pPr>
      <w:adjustRightInd w:val="0"/>
      <w:spacing w:line="360" w:lineRule="atLeast"/>
      <w:ind w:firstLine="420"/>
      <w:jc w:val="left"/>
      <w:textAlignment w:val="baseline"/>
    </w:pPr>
    <w:rPr>
      <w:kern w:val="0"/>
      <w:sz w:val="24"/>
    </w:rPr>
  </w:style>
  <w:style w:type="paragraph" w:styleId="5">
    <w:name w:val="annotation text"/>
    <w:basedOn w:val="1"/>
    <w:autoRedefine/>
    <w:qFormat/>
    <w:uiPriority w:val="0"/>
    <w:pPr>
      <w:jc w:val="left"/>
    </w:pPr>
  </w:style>
  <w:style w:type="paragraph" w:styleId="6">
    <w:name w:val="Body Text"/>
    <w:basedOn w:val="1"/>
    <w:next w:val="1"/>
    <w:autoRedefine/>
    <w:qFormat/>
    <w:uiPriority w:val="0"/>
    <w:pPr>
      <w:spacing w:line="360" w:lineRule="auto"/>
    </w:pPr>
    <w:rPr>
      <w:szCs w:val="20"/>
    </w:rPr>
  </w:style>
  <w:style w:type="paragraph" w:styleId="7">
    <w:name w:val="Body Text Indent"/>
    <w:basedOn w:val="1"/>
    <w:autoRedefine/>
    <w:qFormat/>
    <w:uiPriority w:val="0"/>
    <w:pPr>
      <w:spacing w:line="560" w:lineRule="exact"/>
      <w:ind w:left="300"/>
    </w:pPr>
    <w:rPr>
      <w:sz w:val="24"/>
    </w:rPr>
  </w:style>
  <w:style w:type="paragraph" w:styleId="8">
    <w:name w:val="Plain Text"/>
    <w:basedOn w:val="1"/>
    <w:autoRedefine/>
    <w:qFormat/>
    <w:uiPriority w:val="0"/>
    <w:rPr>
      <w:rFonts w:ascii="宋体" w:hAnsi="Courier New" w:cs="Courier New" w:eastAsiaTheme="minorEastAsia"/>
      <w:szCs w:val="21"/>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autoRedefine/>
    <w:qFormat/>
    <w:uiPriority w:val="0"/>
    <w:pPr>
      <w:ind w:firstLine="420" w:firstLineChars="200"/>
    </w:pPr>
    <w:rPr>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autoRedefine/>
    <w:qFormat/>
    <w:uiPriority w:val="99"/>
    <w:rPr>
      <w:sz w:val="21"/>
      <w:szCs w:val="21"/>
    </w:rPr>
  </w:style>
  <w:style w:type="paragraph" w:customStyle="1" w:styleId="17">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paragraph" w:styleId="18">
    <w:name w:val="Quote"/>
    <w:next w:val="1"/>
    <w:autoRedefine/>
    <w:qFormat/>
    <w:uiPriority w:val="99"/>
    <w:pPr>
      <w:widowControl w:val="0"/>
      <w:jc w:val="both"/>
    </w:pPr>
    <w:rPr>
      <w:rFonts w:ascii="Calibri" w:hAnsi="Calibri" w:eastAsia="宋体" w:cs="Calibri"/>
      <w:i/>
      <w:iCs/>
      <w:color w:val="000000"/>
      <w:kern w:val="2"/>
      <w:sz w:val="22"/>
      <w:szCs w:val="22"/>
      <w:lang w:val="en-US" w:eastAsia="zh-CN" w:bidi="ar-SA"/>
    </w:rPr>
  </w:style>
  <w:style w:type="paragraph" w:styleId="19">
    <w:name w:val="List Paragraph"/>
    <w:basedOn w:val="1"/>
    <w:autoRedefine/>
    <w:qFormat/>
    <w:uiPriority w:val="0"/>
    <w:pPr>
      <w:ind w:firstLine="420" w:firstLineChars="200"/>
    </w:pPr>
    <w:rPr>
      <w:rFonts w:ascii="Times New Roman" w:hAnsi="Times New Roman" w:eastAsia="宋体" w:cs="Times New Roman"/>
      <w:szCs w:val="20"/>
    </w:rPr>
  </w:style>
  <w:style w:type="paragraph" w:customStyle="1" w:styleId="2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544</Words>
  <Characters>3102</Characters>
  <Lines>25</Lines>
  <Paragraphs>7</Paragraphs>
  <TotalTime>17</TotalTime>
  <ScaleCrop>false</ScaleCrop>
  <LinksUpToDate>false</LinksUpToDate>
  <CharactersWithSpaces>3639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2019-11-07T01:08:00Z</dcterms:created>
  <dc:creator>yc</dc:creator>
  <cp:lastModifiedBy>裴龙</cp:lastModifiedBy>
  <dcterms:modified xsi:type="dcterms:W3CDTF">2024-04-24T01:36:49Z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71CCE5108424441BADC311A10F54F65A_13</vt:lpwstr>
  </property>
</Properties>
</file>