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page" w:tblpX="1579" w:tblpY="2750"/>
        <w:tblOverlap w:val="never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296"/>
        <w:gridCol w:w="67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8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0" w:line="276" w:lineRule="auto"/>
              <w:jc w:val="center"/>
              <w:rPr>
                <w:rFonts w:hint="eastAsia" w:ascii="宋体" w:hAnsi="宋体" w:eastAsia="宋体" w:cs="宋体"/>
                <w:snapToGrid w:val="0"/>
                <w:szCs w:val="21"/>
                <w:lang w:val="zh-CN" w:eastAsia="zh-CN"/>
              </w:rPr>
            </w:pPr>
            <w:r>
              <w:rPr>
                <w:rFonts w:hint="eastAsia" w:ascii="宋体" w:hAnsi="宋体" w:cs="宋体"/>
                <w:snapToGrid w:val="0"/>
                <w:szCs w:val="21"/>
                <w:lang w:val="en-US" w:eastAsia="zh-CN"/>
              </w:rPr>
              <w:t>1</w:t>
            </w:r>
          </w:p>
        </w:tc>
        <w:tc>
          <w:tcPr>
            <w:tcW w:w="7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0" w:line="276" w:lineRule="auto"/>
              <w:jc w:val="center"/>
              <w:rPr>
                <w:rFonts w:ascii="宋体" w:hAnsi="宋体" w:cs="宋体"/>
                <w:snapToGrid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szCs w:val="21"/>
                <w:lang w:val="zh-CN"/>
              </w:rPr>
              <w:t>两龙头</w:t>
            </w:r>
          </w:p>
          <w:p>
            <w:pPr>
              <w:widowControl/>
              <w:snapToGrid w:val="0"/>
              <w:spacing w:after="60" w:line="276" w:lineRule="auto"/>
              <w:jc w:val="center"/>
              <w:rPr>
                <w:rFonts w:ascii="宋体" w:hAnsi="宋体" w:cs="宋体"/>
                <w:snapToGrid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szCs w:val="21"/>
                <w:lang w:val="zh-CN"/>
              </w:rPr>
              <w:t>直饮机</w:t>
            </w:r>
          </w:p>
          <w:p>
            <w:pPr>
              <w:widowControl/>
              <w:snapToGrid w:val="0"/>
              <w:spacing w:after="60" w:line="276" w:lineRule="auto"/>
              <w:jc w:val="center"/>
              <w:rPr>
                <w:rFonts w:ascii="宋体" w:hAnsi="宋体" w:cs="宋体"/>
                <w:snapToGrid w:val="0"/>
                <w:szCs w:val="21"/>
                <w:lang w:val="zh-CN"/>
              </w:rPr>
            </w:pPr>
          </w:p>
        </w:tc>
        <w:tc>
          <w:tcPr>
            <w:tcW w:w="37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1、出水类型：两龙头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热水+常温）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2、额定电压：220V～50Hz，额定功率：1500W-</w:t>
            </w:r>
            <w:r>
              <w:rPr>
                <w:rFonts w:hint="eastAsia" w:ascii="宋体" w:hAnsi="宋体"/>
                <w:lang w:val="en-US" w:eastAsia="zh-CN"/>
              </w:rPr>
              <w:t>20</w:t>
            </w:r>
            <w:r>
              <w:rPr>
                <w:rFonts w:hint="eastAsia" w:ascii="宋体" w:hAnsi="宋体"/>
              </w:rPr>
              <w:t>00W（</w:t>
            </w:r>
            <w:r>
              <w:rPr>
                <w:rFonts w:hint="eastAsia" w:ascii="宋体" w:hAnsi="宋体"/>
                <w:bCs/>
                <w:szCs w:val="21"/>
              </w:rPr>
              <w:t>以CCC认证证书为佐证</w:t>
            </w:r>
            <w:r>
              <w:rPr>
                <w:rFonts w:hint="eastAsia" w:ascii="宋体" w:hAnsi="宋体"/>
              </w:rPr>
              <w:t>）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  <w:szCs w:val="21"/>
              </w:rPr>
              <w:t>▲</w:t>
            </w:r>
            <w:r>
              <w:rPr>
                <w:rFonts w:hint="eastAsia" w:ascii="宋体" w:hAnsi="宋体"/>
              </w:rPr>
              <w:t>3、净水流量：≥15L/h，额定总净水量：≥</w:t>
            </w:r>
            <w:r>
              <w:rPr>
                <w:rFonts w:hint="eastAsia" w:ascii="宋体" w:hAnsi="宋体"/>
                <w:lang w:val="en-US" w:eastAsia="zh-CN"/>
              </w:rPr>
              <w:t>5</w:t>
            </w:r>
            <w:r>
              <w:rPr>
                <w:rFonts w:hint="eastAsia" w:ascii="宋体" w:hAnsi="宋体"/>
              </w:rPr>
              <w:t>000L（以卫生许可批件为佐证）</w:t>
            </w:r>
          </w:p>
          <w:p>
            <w:pPr>
              <w:spacing w:line="276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  <w:szCs w:val="21"/>
              </w:rPr>
              <w:t>▲</w:t>
            </w:r>
            <w:r>
              <w:rPr>
                <w:rFonts w:hint="eastAsia" w:ascii="宋体" w:hAnsi="宋体"/>
              </w:rPr>
              <w:t>4、</w:t>
            </w:r>
            <w:r>
              <w:rPr>
                <w:rFonts w:hint="eastAsia" w:ascii="宋体" w:hAnsi="宋体"/>
                <w:lang w:val="en-US" w:eastAsia="zh-CN"/>
              </w:rPr>
              <w:t>热水</w:t>
            </w:r>
            <w:r>
              <w:rPr>
                <w:rFonts w:hint="eastAsia" w:ascii="宋体" w:hAnsi="宋体"/>
              </w:rPr>
              <w:t>容积：≥</w:t>
            </w:r>
            <w:r>
              <w:rPr>
                <w:rFonts w:hint="eastAsia" w:ascii="宋体" w:hAnsi="宋体"/>
                <w:lang w:val="en-US" w:eastAsia="zh-CN"/>
              </w:rPr>
              <w:t>10</w:t>
            </w:r>
            <w:r>
              <w:rPr>
                <w:rFonts w:hint="eastAsia" w:ascii="宋体" w:hAnsi="宋体"/>
              </w:rPr>
              <w:t>L，常温水箱：≥10L（以卫生许可批件为佐证）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5、制热能力：≥15L/h，</w:t>
            </w:r>
            <w:r>
              <w:rPr>
                <w:rFonts w:hint="eastAsia" w:ascii="宋体" w:hAnsi="宋体"/>
                <w:lang w:val="en-US" w:eastAsia="zh-CN"/>
              </w:rPr>
              <w:t>水温：</w:t>
            </w:r>
            <w:r>
              <w:rPr>
                <w:rFonts w:hint="eastAsia" w:ascii="宋体" w:hAnsi="宋体"/>
              </w:rPr>
              <w:t>≥90℃；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6、过滤流程：</w:t>
            </w:r>
            <w:r>
              <w:rPr>
                <w:rFonts w:hint="eastAsia" w:ascii="宋体" w:hAnsi="宋体"/>
                <w:bCs/>
                <w:szCs w:val="21"/>
              </w:rPr>
              <w:t>预处理+反渗透+后置活性炭，核心工艺反渗透过滤；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7、末端采用过流式UV杀菌技术，保障饮水安全。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9、具有在线监测水质、用水量、机器状态，远程控制开关机功能。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  <w:szCs w:val="21"/>
              </w:rPr>
              <w:t>▲</w:t>
            </w:r>
            <w:r>
              <w:rPr>
                <w:rFonts w:hint="eastAsia" w:ascii="宋体" w:hAnsi="宋体"/>
              </w:rPr>
              <w:t>10、具有交互界面，可显示水温、TDS、时间星期、加热、制水、UV、故障提示、滤芯寿命等状态清晰可见（以产品说明书为佐证）。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11、热水按键带安全童锁，温度可根据用户需求自行调节，50-97℃任意调节。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12、定时开关机，可设置到24小时的开启与关闭。</w:t>
            </w:r>
          </w:p>
          <w:p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▲13、根据GB34914—2021《净水机水效限定值及水效等级》标准，水效等级不低于2级（提供对应型号的“中国水效标识”卡及在中国水效标识网上备案截图）；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★14、具有CCC认证证书</w:t>
            </w:r>
            <w:r>
              <w:rPr>
                <w:rFonts w:hint="eastAsia" w:ascii="宋体" w:hAnsi="宋体"/>
                <w:bCs/>
                <w:szCs w:val="21"/>
              </w:rPr>
              <w:t>（提供对应型号的认证证书）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★15、具有卫生部门颁发的产品卫生许可批件，出水水质：符合《生活饮用水水质处理器卫生安全与功能评价规范—反渗透处理装置》（2001）的要求。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8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0" w:line="276" w:lineRule="auto"/>
              <w:jc w:val="center"/>
              <w:rPr>
                <w:rFonts w:hint="eastAsia" w:ascii="宋体" w:hAnsi="宋体" w:eastAsia="宋体" w:cs="宋体"/>
                <w:snapToGrid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zCs w:val="21"/>
                <w:lang w:val="en-US" w:eastAsia="zh-CN"/>
              </w:rPr>
              <w:t>2</w:t>
            </w:r>
          </w:p>
        </w:tc>
        <w:tc>
          <w:tcPr>
            <w:tcW w:w="7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0" w:line="276" w:lineRule="auto"/>
              <w:jc w:val="center"/>
              <w:rPr>
                <w:rFonts w:ascii="宋体" w:hAnsi="宋体" w:cs="宋体"/>
                <w:snapToGrid w:val="0"/>
                <w:szCs w:val="21"/>
                <w:lang w:val="zh-CN"/>
              </w:rPr>
            </w:pPr>
            <w:r>
              <w:rPr>
                <w:rFonts w:hint="eastAsia" w:ascii="宋体" w:hAnsi="宋体"/>
              </w:rPr>
              <w:t>安装辅材及安装</w:t>
            </w:r>
          </w:p>
        </w:tc>
        <w:tc>
          <w:tcPr>
            <w:tcW w:w="37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涉水管线采用食品级材质</w:t>
            </w:r>
          </w:p>
        </w:tc>
      </w:tr>
    </w:tbl>
    <w:p>
      <w:pPr>
        <w:jc w:val="center"/>
        <w:rPr>
          <w:rFonts w:hint="default" w:eastAsia="宋体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直</w:t>
      </w:r>
      <w:bookmarkStart w:id="0" w:name="_GoBack"/>
      <w:bookmarkEnd w:id="0"/>
      <w:r>
        <w:rPr>
          <w:rFonts w:hint="eastAsia"/>
          <w:b/>
          <w:bCs/>
          <w:sz w:val="32"/>
          <w:szCs w:val="40"/>
          <w:lang w:val="en-US" w:eastAsia="zh-CN"/>
        </w:rPr>
        <w:t>饮设备需求</w:t>
      </w:r>
    </w:p>
    <w:sectPr>
      <w:pgSz w:w="11906" w:h="16838"/>
      <w:pgMar w:top="2098" w:right="1587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81B8D6"/>
    <w:multiLevelType w:val="singleLevel"/>
    <w:tmpl w:val="AD81B8D6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30BA210A"/>
    <w:multiLevelType w:val="singleLevel"/>
    <w:tmpl w:val="30BA210A"/>
    <w:lvl w:ilvl="0" w:tentative="0">
      <w:start w:val="1"/>
      <w:numFmt w:val="decimal"/>
      <w:pStyle w:val="8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4YjMzY2Y3NjdjMGM1NDJiYjI1MGE2MWEyNTVkNTYifQ=="/>
  </w:docVars>
  <w:rsids>
    <w:rsidRoot w:val="00000000"/>
    <w:rsid w:val="02B54536"/>
    <w:rsid w:val="06AB6E70"/>
    <w:rsid w:val="09825AF2"/>
    <w:rsid w:val="0F1457B6"/>
    <w:rsid w:val="0F5E6A62"/>
    <w:rsid w:val="0F6C355D"/>
    <w:rsid w:val="159F3197"/>
    <w:rsid w:val="15C8483D"/>
    <w:rsid w:val="1C0D1A61"/>
    <w:rsid w:val="1F7C32CE"/>
    <w:rsid w:val="2344234B"/>
    <w:rsid w:val="23F611A8"/>
    <w:rsid w:val="29AB6313"/>
    <w:rsid w:val="33AE6F34"/>
    <w:rsid w:val="3B4369F8"/>
    <w:rsid w:val="408A2C00"/>
    <w:rsid w:val="433D4AFF"/>
    <w:rsid w:val="489E2F22"/>
    <w:rsid w:val="4B8A5F7A"/>
    <w:rsid w:val="56536441"/>
    <w:rsid w:val="567A298E"/>
    <w:rsid w:val="57517B92"/>
    <w:rsid w:val="57B41ECF"/>
    <w:rsid w:val="59097A2C"/>
    <w:rsid w:val="638C75A0"/>
    <w:rsid w:val="638F67EC"/>
    <w:rsid w:val="664F1F92"/>
    <w:rsid w:val="6F4E2E3C"/>
    <w:rsid w:val="71F10119"/>
    <w:rsid w:val="7BD7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spacing w:beforeAutospacing="0" w:afterAutospacing="0"/>
      <w:ind w:firstLine="0" w:firstLineChars="0"/>
      <w:jc w:val="left"/>
      <w:outlineLvl w:val="0"/>
    </w:pPr>
    <w:rPr>
      <w:rFonts w:hint="eastAsia" w:ascii="宋体" w:hAnsi="宋体" w:eastAsia="黑体"/>
      <w:b/>
      <w:kern w:val="44"/>
      <w:sz w:val="32"/>
      <w:szCs w:val="48"/>
    </w:rPr>
  </w:style>
  <w:style w:type="paragraph" w:styleId="4">
    <w:name w:val="heading 2"/>
    <w:basedOn w:val="1"/>
    <w:next w:val="1"/>
    <w:link w:val="12"/>
    <w:semiHidden/>
    <w:unhideWhenUsed/>
    <w:qFormat/>
    <w:uiPriority w:val="0"/>
    <w:pPr>
      <w:keepNext/>
      <w:keepLines/>
      <w:numPr>
        <w:ilvl w:val="0"/>
        <w:numId w:val="1"/>
      </w:numPr>
      <w:adjustRightInd w:val="0"/>
      <w:snapToGrid w:val="0"/>
      <w:spacing w:beforeLines="0" w:beforeAutospacing="0" w:afterLines="0" w:afterAutospacing="0" w:line="560" w:lineRule="exact"/>
      <w:ind w:firstLine="0" w:firstLineChars="0"/>
      <w:jc w:val="both"/>
      <w:outlineLvl w:val="1"/>
    </w:pPr>
    <w:rPr>
      <w:rFonts w:ascii="仿宋" w:hAnsi="仿宋" w:eastAsia="楷体"/>
      <w:b/>
      <w:kern w:val="0"/>
      <w:sz w:val="32"/>
      <w:szCs w:val="20"/>
    </w:rPr>
  </w:style>
  <w:style w:type="paragraph" w:styleId="5">
    <w:name w:val="heading 3"/>
    <w:basedOn w:val="1"/>
    <w:next w:val="1"/>
    <w:link w:val="14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2"/>
    </w:pPr>
    <w:rPr>
      <w:rFonts w:ascii="Calibri" w:hAnsi="Calibri"/>
      <w:b/>
      <w:sz w:val="32"/>
      <w:szCs w:val="2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3"/>
    </w:pPr>
    <w:rPr>
      <w:rFonts w:ascii="Arial" w:hAnsi="Arial"/>
      <w:sz w:val="32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8">
    <w:name w:val="List Number"/>
    <w:basedOn w:val="7"/>
    <w:next w:val="7"/>
    <w:qFormat/>
    <w:uiPriority w:val="0"/>
    <w:pPr>
      <w:numPr>
        <w:ilvl w:val="0"/>
        <w:numId w:val="2"/>
      </w:numPr>
      <w:spacing w:line="560" w:lineRule="exact"/>
      <w:ind w:left="0" w:firstLine="0" w:firstLineChars="0"/>
    </w:pPr>
    <w:rPr>
      <w:rFonts w:eastAsia="方正小标宋简体"/>
      <w:sz w:val="44"/>
    </w:rPr>
  </w:style>
  <w:style w:type="paragraph" w:styleId="9">
    <w:name w:val="Body Text"/>
    <w:basedOn w:val="1"/>
    <w:qFormat/>
    <w:uiPriority w:val="0"/>
    <w:pPr>
      <w:spacing w:after="120" w:afterLines="0" w:afterAutospacing="0"/>
    </w:pPr>
  </w:style>
  <w:style w:type="character" w:customStyle="1" w:styleId="12">
    <w:name w:val="标题 2 Char"/>
    <w:link w:val="4"/>
    <w:uiPriority w:val="0"/>
    <w:rPr>
      <w:rFonts w:ascii="仿宋" w:hAnsi="仿宋" w:eastAsia="楷体" w:cs="仿宋"/>
      <w:b/>
      <w:sz w:val="32"/>
    </w:rPr>
  </w:style>
  <w:style w:type="character" w:customStyle="1" w:styleId="13">
    <w:name w:val="标题 1 Char"/>
    <w:basedOn w:val="11"/>
    <w:link w:val="3"/>
    <w:qFormat/>
    <w:uiPriority w:val="0"/>
    <w:rPr>
      <w:rFonts w:ascii="宋体" w:hAnsi="宋体" w:eastAsia="黑体" w:cs="Times New Roman"/>
      <w:b/>
      <w:kern w:val="44"/>
      <w:sz w:val="32"/>
      <w:szCs w:val="48"/>
    </w:rPr>
  </w:style>
  <w:style w:type="character" w:customStyle="1" w:styleId="14">
    <w:name w:val="标题 3 Char"/>
    <w:basedOn w:val="11"/>
    <w:link w:val="5"/>
    <w:qFormat/>
    <w:uiPriority w:val="0"/>
    <w:rPr>
      <w:rFonts w:ascii="Calibri" w:hAnsi="Calibri" w:eastAsia="仿宋_GB2312"/>
      <w:b/>
      <w:bCs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505</Words>
  <Characters>569</Characters>
  <Lines>0</Lines>
  <Paragraphs>0</Paragraphs>
  <TotalTime>1</TotalTime>
  <ScaleCrop>false</ScaleCrop>
  <LinksUpToDate>false</LinksUpToDate>
  <CharactersWithSpaces>569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2020-09-09T02:36:00Z</dcterms:created>
  <dc:creator>阿龙</dc:creator>
  <cp:lastModifiedBy>裴龙</cp:lastModifiedBy>
  <dcterms:modified xsi:type="dcterms:W3CDTF">2023-06-05T00:07:38Z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128BE30DCE604156AE2DD1DB71BB8AF4</vt:lpwstr>
  </property>
</Properties>
</file>