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spacing w:before="100" w:beforeAutospacing="1" w:after="100" w:afterAutospacing="1" w:line="360" w:lineRule="auto"/>
        <w:jc w:val="center"/>
        <w:rPr>
          <w:rFonts w:hint="default" w:ascii="宋体" w:hAnsi="宋体" w:eastAsia="宋体" w:cs="宋体"/>
          <w:b/>
          <w:bCs/>
          <w:sz w:val="32"/>
          <w:szCs w:val="32"/>
          <w:lang w:val="en-US"/>
        </w:rPr>
      </w:pPr>
      <w:r>
        <w:rPr>
          <w:rFonts w:hint="eastAsia" w:asciiTheme="minorEastAsia" w:hAnsiTheme="minorEastAsia" w:eastAsiaTheme="minorEastAsia" w:cstheme="minorEastAsia"/>
          <w:b/>
          <w:bCs/>
          <w:sz w:val="32"/>
          <w:szCs w:val="28"/>
          <w:lang w:val="en-US" w:eastAsia="zh-CN"/>
        </w:rPr>
        <w:t>餐饮服务外包</w:t>
      </w:r>
      <w:r>
        <w:rPr>
          <w:rFonts w:hint="eastAsia" w:asciiTheme="minorEastAsia" w:hAnsiTheme="minorEastAsia" w:cstheme="minorEastAsia"/>
          <w:b/>
          <w:bCs/>
          <w:sz w:val="32"/>
          <w:szCs w:val="28"/>
          <w:lang w:val="en-US" w:eastAsia="zh-CN"/>
        </w:rPr>
        <w:t>方案</w:t>
      </w:r>
    </w:p>
    <w:p>
      <w:pPr>
        <w:widowControl/>
        <w:numPr>
          <w:ilvl w:val="0"/>
          <w:numId w:val="1"/>
        </w:numPr>
        <w:spacing w:before="100" w:beforeAutospacing="1" w:after="100" w:afterAutospacing="1" w:line="360" w:lineRule="auto"/>
        <w:ind w:left="0" w:leftChars="0" w:firstLine="420" w:firstLineChars="0"/>
        <w:rPr>
          <w:rFonts w:hint="eastAsia" w:ascii="宋体" w:hAnsi="宋体" w:eastAsia="宋体" w:cs="宋体"/>
          <w:sz w:val="24"/>
          <w:szCs w:val="24"/>
        </w:rPr>
      </w:pPr>
      <w:r>
        <w:rPr>
          <w:rFonts w:hint="eastAsia" w:ascii="方正小标宋简体" w:hAnsi="方正小标宋简体" w:eastAsia="方正小标宋简体" w:cs="方正小标宋简体"/>
          <w:b w:val="0"/>
          <w:bCs w:val="0"/>
          <w:sz w:val="24"/>
          <w:szCs w:val="24"/>
          <w:shd w:val="clear" w:color="auto" w:fill="FFFFFF"/>
        </w:rPr>
        <w:t>投标人资格要求</w:t>
      </w:r>
    </w:p>
    <w:p>
      <w:pPr>
        <w:spacing w:line="360" w:lineRule="auto"/>
        <w:ind w:firstLine="630" w:firstLineChars="300"/>
        <w:rPr>
          <w:rFonts w:hint="eastAsia" w:asciiTheme="minorEastAsia" w:hAnsiTheme="minorEastAsia" w:eastAsiaTheme="minorEastAsia" w:cstheme="minorEastAsia"/>
          <w:kern w:val="0"/>
          <w:sz w:val="24"/>
          <w:szCs w:val="24"/>
        </w:rPr>
      </w:pPr>
      <w:r>
        <w:rPr>
          <w:rFonts w:hint="eastAsia" w:ascii="宋体" w:hAnsi="宋体" w:cs="宋体"/>
          <w:kern w:val="0"/>
          <w:szCs w:val="21"/>
        </w:rPr>
        <w:t>1</w:t>
      </w:r>
      <w:r>
        <w:rPr>
          <w:rFonts w:ascii="宋体" w:hAnsi="宋体" w:cs="宋体"/>
          <w:kern w:val="0"/>
          <w:szCs w:val="21"/>
        </w:rPr>
        <w:t>.</w:t>
      </w:r>
      <w:bookmarkStart w:id="0" w:name="_Hlk72162904"/>
      <w:r>
        <w:rPr>
          <w:rFonts w:hint="eastAsia" w:asciiTheme="minorEastAsia" w:hAnsiTheme="minorEastAsia" w:eastAsiaTheme="minorEastAsia" w:cstheme="minorEastAsia"/>
          <w:kern w:val="0"/>
          <w:sz w:val="24"/>
          <w:szCs w:val="24"/>
        </w:rPr>
        <w:t>具有独立法人资格或是具有独立承担民事责任能力的其它组织（提供营业执照或事业单位法人证书等证明资料扫描件 ）；</w:t>
      </w:r>
      <w:bookmarkEnd w:id="0"/>
    </w:p>
    <w:p>
      <w:pPr>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color w:val="FF0000"/>
          <w:kern w:val="0"/>
          <w:sz w:val="24"/>
          <w:szCs w:val="24"/>
        </w:rPr>
        <w:t>本项目不接受联合体投标，不接受投标人选用进口产品参与投标；</w:t>
      </w:r>
    </w:p>
    <w:p>
      <w:pPr>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3.参与本项目投标前三年内，在经营活动中没有重大违法记录（由供应商在《政府采购投标及履约承诺函》中作出声明）；</w:t>
      </w:r>
    </w:p>
    <w:p>
      <w:pPr>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4.参与本项目政府采购活动时不存在被有关部门禁止参与政府采购活动且在有效期内的情况（由供应商在《政府采购投标及履约承诺函》中作出声明）；</w:t>
      </w:r>
    </w:p>
    <w:p>
      <w:pPr>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5.具备《中华人民共和国政府采购法》第二十二条第一款的条件（由供应商在《政府采购投标及履约承诺函》中作出声明）；</w:t>
      </w:r>
    </w:p>
    <w:p>
      <w:pPr>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6.未被列入失信被执行人、重大税收违法案件当事人名单、政府采购严重违法失信行为记录名单（由供应商在《政府采购投标及履约承诺函》中作出声明）。</w:t>
      </w:r>
    </w:p>
    <w:p>
      <w:pPr>
        <w:spacing w:line="360" w:lineRule="auto"/>
        <w:ind w:firstLine="720" w:firstLineChars="3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pStyle w:val="3"/>
        <w:spacing w:before="78" w:beforeLines="25" w:after="78" w:afterLines="25" w:line="360" w:lineRule="auto"/>
        <w:ind w:firstLine="448" w:firstLineChars="1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SA"/>
        </w:rPr>
        <w:t>8. 有食品药品监管部门颁发的有效的《餐饮服务许可证》或《食品经营许可证》</w:t>
      </w:r>
      <w:r>
        <w:rPr>
          <w:rFonts w:hint="eastAsia" w:asciiTheme="minorEastAsia" w:hAnsiTheme="minorEastAsia" w:cstheme="minorEastAsia"/>
          <w:kern w:val="0"/>
          <w:sz w:val="24"/>
          <w:szCs w:val="24"/>
          <w:lang w:val="en-US" w:eastAsia="zh-CN" w:bidi="ar-SA"/>
        </w:rPr>
        <w:t>。</w:t>
      </w:r>
    </w:p>
    <w:p>
      <w:pPr>
        <w:pStyle w:val="5"/>
        <w:rPr>
          <w:rFonts w:hint="eastAsia"/>
        </w:rPr>
      </w:pPr>
    </w:p>
    <w:p>
      <w:pPr>
        <w:widowControl/>
        <w:numPr>
          <w:ilvl w:val="0"/>
          <w:numId w:val="1"/>
        </w:numPr>
        <w:spacing w:before="100" w:beforeAutospacing="1" w:after="100" w:afterAutospacing="1" w:line="360" w:lineRule="auto"/>
        <w:ind w:left="0" w:leftChars="0" w:firstLine="420" w:firstLineChars="0"/>
        <w:rPr>
          <w:rFonts w:hint="eastAsia" w:ascii="方正小标宋简体" w:hAnsi="方正小标宋简体" w:eastAsia="方正小标宋简体" w:cs="方正小标宋简体"/>
          <w:b w:val="0"/>
          <w:bCs w:val="0"/>
          <w:sz w:val="24"/>
          <w:szCs w:val="24"/>
          <w:shd w:val="clear" w:color="auto" w:fill="FFFFFF"/>
        </w:rPr>
      </w:pPr>
      <w:r>
        <w:rPr>
          <w:rFonts w:hint="eastAsia" w:ascii="方正小标宋简体" w:hAnsi="方正小标宋简体" w:eastAsia="方正小标宋简体" w:cs="方正小标宋简体"/>
          <w:b w:val="0"/>
          <w:bCs w:val="0"/>
          <w:sz w:val="24"/>
          <w:szCs w:val="24"/>
          <w:shd w:val="clear" w:color="auto" w:fill="FFFFFF"/>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为满足病人及职工的日常用餐需求，医院在3号楼6</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lang w:val="en-US" w:eastAsia="zh-CN"/>
        </w:rPr>
        <w:t>7</w:t>
      </w:r>
      <w:r>
        <w:rPr>
          <w:rFonts w:hint="eastAsia" w:asciiTheme="minorEastAsia" w:hAnsiTheme="minorEastAsia" w:eastAsiaTheme="minorEastAsia" w:cstheme="minorEastAsia"/>
          <w:sz w:val="24"/>
          <w:szCs w:val="22"/>
        </w:rPr>
        <w:t>楼</w:t>
      </w:r>
      <w:r>
        <w:rPr>
          <w:rFonts w:hint="eastAsia" w:asciiTheme="minorEastAsia" w:hAnsiTheme="minorEastAsia" w:eastAsiaTheme="minorEastAsia" w:cstheme="minorEastAsia"/>
          <w:sz w:val="24"/>
          <w:szCs w:val="22"/>
          <w:lang w:val="en-US" w:eastAsia="zh-CN"/>
        </w:rPr>
        <w:t>设置职工餐厅</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z w:val="24"/>
          <w:szCs w:val="22"/>
          <w:lang w:eastAsia="zh-CN"/>
        </w:rPr>
        <w:t>其中</w:t>
      </w:r>
      <w:r>
        <w:rPr>
          <w:rFonts w:hint="eastAsia" w:asciiTheme="minorEastAsia" w:hAnsiTheme="minorEastAsia" w:eastAsiaTheme="minorEastAsia" w:cstheme="minorEastAsia"/>
          <w:sz w:val="24"/>
          <w:szCs w:val="22"/>
        </w:rPr>
        <w:t>后厨约750㎡，</w:t>
      </w:r>
      <w:r>
        <w:rPr>
          <w:rFonts w:hint="eastAsia" w:asciiTheme="minorEastAsia" w:hAnsiTheme="minorEastAsia" w:eastAsiaTheme="minorEastAsia" w:cstheme="minorEastAsia"/>
          <w:sz w:val="24"/>
          <w:szCs w:val="22"/>
          <w:lang w:val="en-US" w:eastAsia="zh-CN"/>
        </w:rPr>
        <w:t>6楼</w:t>
      </w:r>
      <w:r>
        <w:rPr>
          <w:rFonts w:hint="eastAsia" w:asciiTheme="minorEastAsia" w:hAnsiTheme="minorEastAsia" w:eastAsiaTheme="minorEastAsia" w:cstheme="minorEastAsia"/>
          <w:sz w:val="24"/>
          <w:szCs w:val="22"/>
        </w:rPr>
        <w:t>餐厅约250㎡，</w:t>
      </w:r>
      <w:r>
        <w:rPr>
          <w:rFonts w:hint="eastAsia" w:asciiTheme="minorEastAsia" w:hAnsiTheme="minorEastAsia" w:eastAsiaTheme="minorEastAsia" w:cstheme="minorEastAsia"/>
          <w:sz w:val="24"/>
          <w:szCs w:val="22"/>
          <w:lang w:val="en-US" w:eastAsia="zh-CN"/>
        </w:rPr>
        <w:t>7楼餐厅500</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z w:val="24"/>
          <w:szCs w:val="22"/>
          <w:lang w:eastAsia="zh-CN"/>
        </w:rPr>
        <w:t>，</w:t>
      </w:r>
      <w:r>
        <w:rPr>
          <w:rFonts w:hint="eastAsia" w:asciiTheme="minorEastAsia" w:hAnsiTheme="minorEastAsia" w:eastAsiaTheme="minorEastAsia" w:cstheme="minorEastAsia"/>
          <w:sz w:val="24"/>
          <w:szCs w:val="22"/>
          <w:lang w:val="en-US" w:eastAsia="zh-CN"/>
        </w:rPr>
        <w:t>要求可</w:t>
      </w:r>
      <w:r>
        <w:rPr>
          <w:rFonts w:hint="eastAsia" w:asciiTheme="minorEastAsia" w:hAnsiTheme="minorEastAsia" w:eastAsiaTheme="minorEastAsia" w:cstheme="minorEastAsia"/>
          <w:sz w:val="24"/>
          <w:szCs w:val="22"/>
        </w:rPr>
        <w:t>容纳约2</w:t>
      </w:r>
      <w:r>
        <w:rPr>
          <w:rFonts w:hint="eastAsia" w:asciiTheme="minorEastAsia" w:hAnsiTheme="minorEastAsia" w:eastAsiaTheme="minorEastAsia" w:cstheme="minorEastAsia"/>
          <w:sz w:val="24"/>
          <w:szCs w:val="22"/>
          <w:lang w:val="en-US" w:eastAsia="zh-CN"/>
        </w:rPr>
        <w:t>70</w:t>
      </w:r>
      <w:r>
        <w:rPr>
          <w:rFonts w:hint="eastAsia" w:asciiTheme="minorEastAsia" w:hAnsiTheme="minorEastAsia" w:eastAsiaTheme="minorEastAsia" w:cstheme="minorEastAsia"/>
          <w:sz w:val="24"/>
          <w:szCs w:val="22"/>
        </w:rPr>
        <w:t>0</w:t>
      </w:r>
      <w:r>
        <w:rPr>
          <w:rFonts w:hint="eastAsia" w:asciiTheme="minorEastAsia" w:hAnsiTheme="minorEastAsia" w:eastAsiaTheme="minorEastAsia" w:cstheme="minorEastAsia"/>
          <w:sz w:val="24"/>
          <w:szCs w:val="22"/>
          <w:lang w:val="en-US" w:eastAsia="zh-CN"/>
        </w:rPr>
        <w:t>名职工</w:t>
      </w:r>
      <w:r>
        <w:rPr>
          <w:rFonts w:hint="eastAsia" w:asciiTheme="minorEastAsia" w:hAnsiTheme="minorEastAsia" w:eastAsiaTheme="minorEastAsia" w:cstheme="minorEastAsia"/>
          <w:sz w:val="24"/>
          <w:szCs w:val="22"/>
        </w:rPr>
        <w:t>就餐。职工用餐暂采取在</w:t>
      </w:r>
      <w:r>
        <w:rPr>
          <w:rFonts w:hint="eastAsia" w:asciiTheme="minorEastAsia" w:hAnsiTheme="minorEastAsia" w:eastAsiaTheme="minorEastAsia" w:cstheme="minorEastAsia"/>
          <w:sz w:val="24"/>
          <w:szCs w:val="22"/>
          <w:lang w:val="en-US" w:eastAsia="zh-CN"/>
        </w:rPr>
        <w:t>堂食</w:t>
      </w:r>
      <w:r>
        <w:rPr>
          <w:rFonts w:hint="eastAsia" w:asciiTheme="minorEastAsia" w:hAnsiTheme="minorEastAsia" w:eastAsiaTheme="minorEastAsia" w:cstheme="minorEastAsia"/>
          <w:sz w:val="24"/>
          <w:szCs w:val="22"/>
        </w:rPr>
        <w:t>及送餐模式，患者及家属主要采取配送模式，医院提供场地及后厨完整配套的厨设施，要求供应商自负盈亏自主经营模式，为职工及病人提供性价比高的餐饮服务。为有效地促进公平竞争，我院</w:t>
      </w:r>
      <w:r>
        <w:rPr>
          <w:rFonts w:hint="eastAsia" w:asciiTheme="minorEastAsia" w:hAnsiTheme="minorEastAsia" w:eastAsiaTheme="minorEastAsia" w:cstheme="minorEastAsia"/>
          <w:sz w:val="24"/>
          <w:szCs w:val="22"/>
          <w:lang w:val="en-US" w:eastAsia="zh-CN"/>
        </w:rPr>
        <w:t>公开征集</w:t>
      </w:r>
      <w:r>
        <w:rPr>
          <w:rFonts w:hint="eastAsia" w:asciiTheme="minorEastAsia" w:hAnsiTheme="minorEastAsia" w:eastAsiaTheme="minorEastAsia" w:cstheme="minorEastAsia"/>
          <w:sz w:val="24"/>
          <w:szCs w:val="22"/>
        </w:rPr>
        <w:t>该项目</w:t>
      </w:r>
      <w:r>
        <w:rPr>
          <w:rFonts w:hint="eastAsia" w:asciiTheme="minorEastAsia" w:hAnsiTheme="minorEastAsia" w:eastAsiaTheme="minorEastAsia" w:cstheme="minorEastAsia"/>
          <w:sz w:val="24"/>
          <w:szCs w:val="22"/>
          <w:lang w:val="en-US" w:eastAsia="zh-CN"/>
        </w:rPr>
        <w:t>方案</w:t>
      </w:r>
      <w:r>
        <w:rPr>
          <w:rFonts w:hint="eastAsia" w:asciiTheme="minorEastAsia" w:hAnsiTheme="minorEastAsia" w:eastAsiaTheme="minorEastAsia" w:cstheme="minorEastAsia"/>
          <w:sz w:val="24"/>
          <w:szCs w:val="22"/>
        </w:rPr>
        <w:t>，欢迎各供应商提出意见和建议作为专家论证参考。</w:t>
      </w:r>
    </w:p>
    <w:p>
      <w:pPr>
        <w:rPr>
          <w:rFonts w:hint="eastAsia"/>
        </w:rPr>
      </w:pPr>
    </w:p>
    <w:p>
      <w:pPr>
        <w:widowControl/>
        <w:numPr>
          <w:ilvl w:val="0"/>
          <w:numId w:val="1"/>
        </w:numPr>
        <w:spacing w:before="100" w:beforeAutospacing="1" w:after="100" w:afterAutospacing="1" w:line="360" w:lineRule="auto"/>
        <w:ind w:left="0" w:leftChars="0" w:firstLine="420" w:firstLineChars="0"/>
        <w:rPr>
          <w:rFonts w:hint="eastAsia" w:ascii="方正小标宋简体" w:hAnsi="方正小标宋简体" w:eastAsia="方正小标宋简体" w:cs="方正小标宋简体"/>
          <w:b w:val="0"/>
          <w:bCs w:val="0"/>
          <w:sz w:val="24"/>
          <w:szCs w:val="24"/>
          <w:shd w:val="clear" w:color="auto" w:fill="FFFFFF"/>
          <w:lang w:val="en-US" w:eastAsia="zh-CN"/>
        </w:rPr>
      </w:pPr>
      <w:r>
        <w:rPr>
          <w:rFonts w:hint="eastAsia" w:ascii="方正小标宋简体" w:hAnsi="方正小标宋简体" w:eastAsia="方正小标宋简体" w:cs="方正小标宋简体"/>
          <w:b w:val="0"/>
          <w:bCs w:val="0"/>
          <w:sz w:val="24"/>
          <w:szCs w:val="24"/>
          <w:shd w:val="clear" w:color="auto" w:fill="FFFFFF"/>
          <w:lang w:val="en-US" w:eastAsia="zh-CN"/>
        </w:rPr>
        <w:t>服务要求：</w:t>
      </w:r>
    </w:p>
    <w:p>
      <w:pPr>
        <w:keepNext w:val="0"/>
        <w:keepLines w:val="0"/>
        <w:pageBreakBefore w:val="0"/>
        <w:widowControl w:val="0"/>
        <w:numPr>
          <w:ilvl w:val="0"/>
          <w:numId w:val="2"/>
        </w:numPr>
        <w:kinsoku/>
        <w:wordWrap/>
        <w:overflowPunct/>
        <w:topLinePunct w:val="0"/>
        <w:autoSpaceDE/>
        <w:autoSpaceDN/>
        <w:bidi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中标人应做好经营场地的安全、卫生（门前实行三包）、防火、防盗、防水、防毒、秩序等工作，由此出现的一切问题由中标人负全责。</w:t>
      </w:r>
    </w:p>
    <w:p>
      <w:pPr>
        <w:keepNext w:val="0"/>
        <w:keepLines w:val="0"/>
        <w:pageBreakBefore w:val="0"/>
        <w:widowControl w:val="0"/>
        <w:numPr>
          <w:ilvl w:val="0"/>
          <w:numId w:val="2"/>
        </w:numPr>
        <w:kinsoku/>
        <w:wordWrap/>
        <w:overflowPunct/>
        <w:topLinePunct w:val="0"/>
        <w:autoSpaceDE/>
        <w:autoSpaceDN/>
        <w:bidi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中标人在合同期内出现任何罚款（累及采购人而造成的损失），全部由中标人承担。</w:t>
      </w:r>
    </w:p>
    <w:p>
      <w:pPr>
        <w:keepNext w:val="0"/>
        <w:keepLines w:val="0"/>
        <w:pageBreakBefore w:val="0"/>
        <w:widowControl w:val="0"/>
        <w:numPr>
          <w:ilvl w:val="0"/>
          <w:numId w:val="2"/>
        </w:numPr>
        <w:kinsoku/>
        <w:wordWrap/>
        <w:overflowPunct/>
        <w:topLinePunct w:val="0"/>
        <w:autoSpaceDE/>
        <w:autoSpaceDN/>
        <w:bidi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负责本项目所属餐厅的食品原材料采购、加工、烹饪、供餐、清洁卫生及其他服务工作；</w:t>
      </w:r>
    </w:p>
    <w:p>
      <w:pPr>
        <w:keepNext w:val="0"/>
        <w:keepLines w:val="0"/>
        <w:pageBreakBefore w:val="0"/>
        <w:widowControl w:val="0"/>
        <w:numPr>
          <w:ilvl w:val="0"/>
          <w:numId w:val="2"/>
        </w:numPr>
        <w:kinsoku/>
        <w:wordWrap/>
        <w:overflowPunct/>
        <w:topLinePunct w:val="0"/>
        <w:autoSpaceDE/>
        <w:autoSpaceDN/>
        <w:bidi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按照国家的法律法规，负责从业人员的聘用、培训（符合从事饮食业要求）、管理和工资社保待遇等；</w:t>
      </w:r>
    </w:p>
    <w:p>
      <w:pPr>
        <w:keepNext w:val="0"/>
        <w:keepLines w:val="0"/>
        <w:pageBreakBefore w:val="0"/>
        <w:widowControl w:val="0"/>
        <w:numPr>
          <w:ilvl w:val="0"/>
          <w:numId w:val="2"/>
        </w:numPr>
        <w:kinsoku/>
        <w:wordWrap/>
        <w:overflowPunct/>
        <w:topLinePunct w:val="0"/>
        <w:autoSpaceDE/>
        <w:autoSpaceDN/>
        <w:bidi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负责餐厅经营所需的水、电、煤气等能源费用，每月按时缴费至医院财务部门；</w:t>
      </w:r>
    </w:p>
    <w:p>
      <w:pPr>
        <w:keepNext w:val="0"/>
        <w:keepLines w:val="0"/>
        <w:pageBreakBefore w:val="0"/>
        <w:widowControl w:val="0"/>
        <w:numPr>
          <w:ilvl w:val="0"/>
          <w:numId w:val="2"/>
        </w:numPr>
        <w:kinsoku/>
        <w:wordWrap/>
        <w:overflowPunct/>
        <w:topLinePunct w:val="0"/>
        <w:autoSpaceDE/>
        <w:autoSpaceDN/>
        <w:bidi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需自主投入后厨所需的锅、刀具、砧板等工作散件用具；</w:t>
      </w:r>
    </w:p>
    <w:p>
      <w:pPr>
        <w:keepNext w:val="0"/>
        <w:keepLines w:val="0"/>
        <w:pageBreakBefore w:val="0"/>
        <w:widowControl w:val="0"/>
        <w:numPr>
          <w:ilvl w:val="0"/>
          <w:numId w:val="2"/>
        </w:numPr>
        <w:kinsoku/>
        <w:wordWrap/>
        <w:overflowPunct/>
        <w:topLinePunct w:val="0"/>
        <w:autoSpaceDE/>
        <w:autoSpaceDN/>
        <w:bidi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需自主投入餐厅打饭窗口上方的菜品展示标识及负责所有饭堂的各类标识牌（可采用电子显示屏）。</w:t>
      </w:r>
    </w:p>
    <w:p>
      <w:pPr>
        <w:keepNext w:val="0"/>
        <w:keepLines w:val="0"/>
        <w:pageBreakBefore w:val="0"/>
        <w:widowControl w:val="0"/>
        <w:numPr>
          <w:ilvl w:val="0"/>
          <w:numId w:val="2"/>
        </w:numPr>
        <w:kinsoku/>
        <w:wordWrap/>
        <w:overflowPunct/>
        <w:topLinePunct w:val="0"/>
        <w:autoSpaceDE/>
        <w:autoSpaceDN/>
        <w:bidi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需自主投入餐具，需按照院方需求（VI指定款式）定制餐具标识；</w:t>
      </w:r>
    </w:p>
    <w:p>
      <w:pPr>
        <w:keepNext w:val="0"/>
        <w:keepLines w:val="0"/>
        <w:pageBreakBefore w:val="0"/>
        <w:widowControl w:val="0"/>
        <w:numPr>
          <w:ilvl w:val="0"/>
          <w:numId w:val="2"/>
        </w:numPr>
        <w:kinsoku/>
        <w:wordWrap/>
        <w:overflowPunct/>
        <w:topLinePunct w:val="0"/>
        <w:autoSpaceDE/>
        <w:autoSpaceDN/>
        <w:bidi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按照医院需求，提供多样式订餐服务（网络、电话、现场订餐等，请详细陈述）。</w:t>
      </w:r>
    </w:p>
    <w:p>
      <w:pPr>
        <w:keepNext w:val="0"/>
        <w:keepLines w:val="0"/>
        <w:pageBreakBefore w:val="0"/>
        <w:widowControl w:val="0"/>
        <w:numPr>
          <w:ilvl w:val="0"/>
          <w:numId w:val="2"/>
        </w:numPr>
        <w:kinsoku/>
        <w:wordWrap/>
        <w:overflowPunct/>
        <w:topLinePunct w:val="0"/>
        <w:autoSpaceDE/>
        <w:autoSpaceDN/>
        <w:bidi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医院提供现有的饭堂设备给中标</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 xml:space="preserve">使用； </w:t>
      </w:r>
    </w:p>
    <w:p>
      <w:pPr>
        <w:keepNext w:val="0"/>
        <w:keepLines w:val="0"/>
        <w:pageBreakBefore w:val="0"/>
        <w:widowControl w:val="0"/>
        <w:numPr>
          <w:ilvl w:val="0"/>
          <w:numId w:val="2"/>
        </w:numPr>
        <w:kinsoku/>
        <w:wordWrap/>
        <w:overflowPunct/>
        <w:topLinePunct w:val="0"/>
        <w:autoSpaceDE/>
        <w:autoSpaceDN/>
        <w:bidi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按照深圳市环水局要求自主安装油烟在线监控系统，合同结束后该套系统所有权归医院所有（费用约1.8万元人民币）；</w:t>
      </w:r>
    </w:p>
    <w:p>
      <w:pPr>
        <w:keepNext w:val="0"/>
        <w:keepLines w:val="0"/>
        <w:pageBreakBefore w:val="0"/>
        <w:widowControl w:val="0"/>
        <w:numPr>
          <w:ilvl w:val="0"/>
          <w:numId w:val="2"/>
        </w:numPr>
        <w:kinsoku/>
        <w:wordWrap/>
        <w:overflowPunct/>
        <w:topLinePunct w:val="0"/>
        <w:autoSpaceDE/>
        <w:autoSpaceDN/>
        <w:bidi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营养餐的送餐盒上必须贴明详细打印的营养配比标签，配合院方随时查验配餐情况（详细陈述）。</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营养餐需由相对独立的厨师团队负责。制作、配送等相关人员要接受营养科的监督及定期培训。中标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应配合营养科保证病人餐的出品质量，菜单每月变动一次，提交营养科审核后方可执行。菜式搭配绿色健康，需提供重不同口味、不同菜式的餐品，且每餐均需提供流质、半流质、软食、糖尿病饮食、低盐低脂饮食、高蛋白质饮食等特殊餐饮需求服务（特殊餐饮服务根据采购人临床患者的需求变动而变动）。</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需每月对员工进行1次以上的培训，并有书面培训资料及培训记录。中标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每年对关键岗位员工进行4次以上岗位相关工作培训，并提交培训记录及公司确认等相关资料。</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应保证病人餐的配送规范应符合《中华人民共和国食品安全法》及相关餐饮行业的相关规定。应使用专用的保温设备运输病人餐，并保证送达时食品的表面温度不低于70℃。运输与配送期间应做足有效措施的预防食物受污物或环境的污染。</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对经营范围内发生的食品安全事故由中标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负全责，对经营范围内因人为操作失误引起的其它安全事故由中标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负全责；</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如食用由中标</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配送的病人餐造成腹泻、过敏、食物中毒等食品安全事故，所有的法律责任和经济损失由中标人全部负责。</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应建立健全各项规章制度及有关岗位责任制和操作规程，并严格按制度和规程工作。制度建立主要包括：防火、防毒、防盗、卫生管理、物流采购和供应等方面。中标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应切实做好防火、防盗、商品的卫生安全工作，若发生责任事故，后果由中标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全部承担，且医院有权解除合同，要求赔偿并且追究法律责任。</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所有食材不得使用转基因产品，如若发现，扣除履约保证金30万元，并且医院有权解除合同，要求赔偿并且追究法律责任。</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w:t>
      </w:r>
      <w:r>
        <w:rPr>
          <w:rFonts w:hint="eastAsia" w:asciiTheme="minorEastAsia" w:hAnsiTheme="minorEastAsia" w:eastAsiaTheme="minorEastAsia" w:cstheme="minorEastAsia"/>
          <w:sz w:val="24"/>
          <w:szCs w:val="24"/>
          <w:lang w:val="en-US" w:eastAsia="zh-CN"/>
        </w:rPr>
        <w:t>人</w:t>
      </w:r>
      <w:r>
        <w:rPr>
          <w:rFonts w:hint="eastAsia" w:asciiTheme="minorEastAsia" w:hAnsiTheme="minorEastAsia" w:eastAsiaTheme="minorEastAsia" w:cstheme="minorEastAsia"/>
          <w:sz w:val="24"/>
          <w:szCs w:val="24"/>
        </w:rPr>
        <w:t>必须执行食材48小时留样制度（重要接待72小时），以备检查。</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负责维持饭堂（含手术室餐厅及体检餐厅）的环保、卫生、灭‘四害’等工作，费用由中标人承担。配餐间整洁，用具、食品摆放有序，生、熟食品要分区摆放，工作完成后要立即做好卫生清洁工作；就餐区用具干净、整洁，桌椅要摆放整齐，就餐前要做好卫生清洁和易耗品摆放</w:t>
      </w:r>
      <w:r>
        <w:rPr>
          <w:rFonts w:hint="eastAsia" w:asciiTheme="minorEastAsia" w:hAnsiTheme="minorEastAsia" w:cstheme="minorEastAsia"/>
          <w:sz w:val="24"/>
          <w:szCs w:val="24"/>
          <w:lang w:eastAsia="zh-CN"/>
        </w:rPr>
        <w:t>。</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对于厨余垃圾处理必须实行专人管理，实行垃圾有机处理。</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建立突发情况的应急预案，每年至少一次演习，在出现无法正常供餐的突发情况下，30分钟内提供价格相当的应急供餐保障，保证员工正常的饮食需要。</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未经医院书面同意，</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人不可将经营位置分租给第三方经营；或转包给第三方。否则，院方可单方面解除合同，并扣</w:t>
      </w:r>
      <w:r>
        <w:rPr>
          <w:rFonts w:hint="eastAsia" w:asciiTheme="minorEastAsia" w:hAnsiTheme="minorEastAsia" w:cstheme="minorEastAsia"/>
          <w:sz w:val="24"/>
          <w:szCs w:val="24"/>
          <w:lang w:val="en-US" w:eastAsia="zh-CN"/>
        </w:rPr>
        <w:t>除全部的</w:t>
      </w:r>
      <w:r>
        <w:rPr>
          <w:rFonts w:hint="eastAsia" w:asciiTheme="minorEastAsia" w:hAnsiTheme="minorEastAsia" w:cstheme="minorEastAsia"/>
          <w:sz w:val="24"/>
          <w:szCs w:val="24"/>
          <w:lang w:eastAsia="zh-CN"/>
        </w:rPr>
        <w:t>履约</w:t>
      </w:r>
      <w:r>
        <w:rPr>
          <w:rFonts w:hint="eastAsia" w:asciiTheme="minorEastAsia" w:hAnsiTheme="minorEastAsia" w:cstheme="minorEastAsia"/>
          <w:sz w:val="24"/>
          <w:szCs w:val="24"/>
          <w:lang w:val="en-US" w:eastAsia="zh-CN"/>
        </w:rPr>
        <w:t>保证金（3</w:t>
      </w:r>
      <w:r>
        <w:rPr>
          <w:rFonts w:hint="eastAsia" w:asciiTheme="minorEastAsia" w:hAnsiTheme="minorEastAsia" w:eastAsiaTheme="minorEastAsia" w:cstheme="minorEastAsia"/>
          <w:sz w:val="24"/>
          <w:szCs w:val="24"/>
        </w:rPr>
        <w:t>0万元人民币</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负责每季度收集员工的意见和信息，制作食堂服务意见采集表，定期发放，定期收回，如实将意见收集归类分析。</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03" w:firstLineChars="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中标</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z w:val="24"/>
          <w:szCs w:val="24"/>
        </w:rPr>
        <w:t>须接受医院管理部门及全院职工的监督，每月接受评核一次（建立奖惩机制，对服务满意度调查及要有系统性实施方案，每月至少进行一次第三方满意度调查）。</w:t>
      </w:r>
    </w:p>
    <w:p>
      <w:pPr>
        <w:pStyle w:val="7"/>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403" w:firstLineChars="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中标人要加强食品卫生、食品质量的管理，确定食品质量，所有原材料与制成品必须符合食品卫生检疫标准。同时必须接收食品药品监管管理局等各级单位的卫生监督检查，并按检查结果进行整改。</w:t>
      </w:r>
    </w:p>
    <w:p>
      <w:pPr>
        <w:pStyle w:val="7"/>
        <w:keepNext w:val="0"/>
        <w:keepLines w:val="0"/>
        <w:pageBreakBefore w:val="0"/>
        <w:widowControl w:val="0"/>
        <w:numPr>
          <w:numId w:val="0"/>
        </w:numPr>
        <w:kinsoku/>
        <w:wordWrap/>
        <w:overflowPunct/>
        <w:topLinePunct w:val="0"/>
        <w:autoSpaceDE/>
        <w:autoSpaceDN/>
        <w:bidi w:val="0"/>
        <w:adjustRightInd w:val="0"/>
        <w:snapToGrid w:val="0"/>
        <w:spacing w:line="360" w:lineRule="auto"/>
        <w:ind w:left="403" w:leftChars="0"/>
        <w:textAlignment w:val="auto"/>
        <w:rPr>
          <w:rFonts w:hint="eastAsia"/>
        </w:rPr>
      </w:pPr>
    </w:p>
    <w:p>
      <w:pPr>
        <w:widowControl/>
        <w:numPr>
          <w:ilvl w:val="0"/>
          <w:numId w:val="1"/>
        </w:numPr>
        <w:spacing w:before="100" w:beforeAutospacing="1" w:after="100" w:afterAutospacing="1" w:line="360" w:lineRule="auto"/>
        <w:ind w:left="0" w:leftChars="0" w:firstLine="420" w:firstLineChars="0"/>
        <w:rPr>
          <w:rFonts w:hint="eastAsia" w:ascii="方正小标宋简体" w:hAnsi="方正小标宋简体" w:eastAsia="方正小标宋简体" w:cs="方正小标宋简体"/>
          <w:b w:val="0"/>
          <w:bCs w:val="0"/>
          <w:sz w:val="24"/>
          <w:szCs w:val="24"/>
          <w:shd w:val="clear" w:color="auto" w:fill="FFFFFF"/>
          <w:lang w:val="en-US" w:eastAsia="zh-CN"/>
        </w:rPr>
      </w:pPr>
      <w:r>
        <w:rPr>
          <w:rFonts w:hint="eastAsia" w:ascii="方正小标宋简体" w:hAnsi="方正小标宋简体" w:eastAsia="方正小标宋简体" w:cs="方正小标宋简体"/>
          <w:b w:val="0"/>
          <w:bCs w:val="0"/>
          <w:sz w:val="24"/>
          <w:szCs w:val="24"/>
          <w:shd w:val="clear" w:color="auto" w:fill="FFFFFF"/>
          <w:lang w:val="en-US" w:eastAsia="zh-CN"/>
        </w:rPr>
        <w:t>管理要求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1.原材料采购要求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负责对食堂原材料采购工作、验收工作。提供原材料合格检验证书及其他相关检测记录、检验证明，具体要求如下：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所选用的食材供应商必须符合国家规定的相关资质要求，中标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须提供其资质资料给院方备案。</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1.3</w:t>
      </w:r>
      <w:r>
        <w:rPr>
          <w:rFonts w:hint="eastAsia" w:asciiTheme="minorEastAsia" w:hAnsiTheme="minorEastAsia" w:eastAsiaTheme="minorEastAsia" w:cstheme="minorEastAsia"/>
          <w:sz w:val="24"/>
          <w:szCs w:val="24"/>
        </w:rPr>
        <w:t>所有食品必须在大型批发市场或商场采购，或者直接从生产厂家代理商采购，每批次索要厂家相关检验合格报告，医院管理部门可随时查验。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食材资质要求如下：</w:t>
      </w:r>
    </w:p>
    <w:tbl>
      <w:tblPr>
        <w:tblStyle w:val="12"/>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00"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品种</w:t>
            </w:r>
          </w:p>
        </w:tc>
        <w:tc>
          <w:tcPr>
            <w:tcW w:w="6984"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200"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食用油</w:t>
            </w:r>
          </w:p>
        </w:tc>
        <w:tc>
          <w:tcPr>
            <w:tcW w:w="6984" w:type="dxa"/>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国际知名粮油企业、荣获“中国驰名商标”称号。（参考品牌：中粮、中储粮、胡姬花、鲁花等）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00"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盐</w:t>
            </w:r>
          </w:p>
        </w:tc>
        <w:tc>
          <w:tcPr>
            <w:tcW w:w="6984" w:type="dxa"/>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食盐必须是经技术监督部门认可的加碘盐，（参考品牌：粤盐，广东省专卖）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200"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米</w:t>
            </w:r>
          </w:p>
        </w:tc>
        <w:tc>
          <w:tcPr>
            <w:tcW w:w="6984" w:type="dxa"/>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中国知名品牌（参考品牌：中粮、中储粮、益海嘉里等）。由良好大型粮油公司提供，无掺杂、无沙石、碎米少、无黄粒米；大米包装袋上须印有大米品名、等级、数量、出厂名、厂家地址及电话。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200"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酱油调味料</w:t>
            </w:r>
          </w:p>
        </w:tc>
        <w:tc>
          <w:tcPr>
            <w:tcW w:w="6984" w:type="dxa"/>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中国知名品牌（参考相应等级品牌型号如下，需求方可根据实际情况进行调整：海天、李锦记、珠江桥牌，质量等级：一级）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00"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豆制品、新鲜粉面</w:t>
            </w:r>
          </w:p>
        </w:tc>
        <w:tc>
          <w:tcPr>
            <w:tcW w:w="6984" w:type="dxa"/>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当地政府认可的优质企业，营业执照、检验合格证明：</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由良好大型粮油公司提供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00"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鲜肉</w:t>
            </w:r>
          </w:p>
        </w:tc>
        <w:tc>
          <w:tcPr>
            <w:tcW w:w="6984" w:type="dxa"/>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政府指定的肉联厂、当地规模最大、信誉好；营业执照、畜产品检验证明。必须在正规的肉食公司采购，不购私宰肉或来路不明的肉。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00"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三鸟</w:t>
            </w:r>
          </w:p>
        </w:tc>
        <w:tc>
          <w:tcPr>
            <w:tcW w:w="6984" w:type="dxa"/>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政府认可的专业企业、当地规模最大、设施齐全、信誉好、营业执照、畜产品检验证明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0"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蔬菜</w:t>
            </w:r>
          </w:p>
        </w:tc>
        <w:tc>
          <w:tcPr>
            <w:tcW w:w="6984" w:type="dxa"/>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大型农批市场批发或自有合作的种植基地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0"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奶制品</w:t>
            </w:r>
          </w:p>
        </w:tc>
        <w:tc>
          <w:tcPr>
            <w:tcW w:w="6984" w:type="dxa"/>
            <w:shd w:val="clear" w:color="auto" w:fill="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知名品牌（蒙牛、伊利、维记、天润等）</w:t>
            </w: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2.经营及人员配备管理要求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2.1</w:t>
      </w:r>
      <w:r>
        <w:rPr>
          <w:rFonts w:hint="eastAsia" w:asciiTheme="minorEastAsia" w:hAnsiTheme="minorEastAsia" w:eastAsiaTheme="minorEastAsia" w:cstheme="minorEastAsia"/>
          <w:sz w:val="24"/>
          <w:szCs w:val="24"/>
        </w:rPr>
        <w:t>采取全托承包，自负盈亏的管理模式。中标</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不得将本项目招标内容以任何放式进行转包、分包。</w:t>
      </w:r>
    </w:p>
    <w:p>
      <w:pPr>
        <w:spacing w:line="360" w:lineRule="auto"/>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cstheme="minorEastAsia"/>
          <w:sz w:val="24"/>
          <w:szCs w:val="24"/>
          <w:lang w:val="en-US" w:eastAsia="zh-CN"/>
        </w:rPr>
        <w:t>2.2</w:t>
      </w:r>
      <w:r>
        <w:rPr>
          <w:rFonts w:hint="eastAsia" w:asciiTheme="minorEastAsia" w:hAnsiTheme="minorEastAsia" w:eastAsiaTheme="minorEastAsia" w:cstheme="minorEastAsia"/>
          <w:sz w:val="24"/>
          <w:szCs w:val="24"/>
        </w:rPr>
        <w:t>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正式进场后，需在当年内协助院方取得食堂食品安全量化等级评级的工作，并且获得食品安全量化等级A级（标书内承诺）。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2.3</w:t>
      </w:r>
      <w:r>
        <w:rPr>
          <w:rFonts w:hint="eastAsia" w:asciiTheme="minorEastAsia" w:hAnsiTheme="minorEastAsia" w:eastAsiaTheme="minorEastAsia" w:cstheme="minorEastAsia"/>
          <w:sz w:val="24"/>
          <w:szCs w:val="24"/>
        </w:rPr>
        <w:t>餐厅需配置一名专职的项目经理，并且配备一名专职主管对接院方营养科配餐工作，餐厅人员配置不少于65人。</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3.财务及价格管理要求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3.1中标</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所售卖餐食价格不得高于周边同类经营单位或市场经营单位所售卖餐食价格价格合理，微利经营，同时接受我院监督和审批。菜品价格由中标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核算并报医院</w:t>
      </w:r>
      <w:r>
        <w:rPr>
          <w:rFonts w:hint="eastAsia" w:asciiTheme="minorEastAsia" w:hAnsiTheme="minorEastAsia" w:cstheme="minorEastAsia"/>
          <w:sz w:val="24"/>
          <w:szCs w:val="24"/>
          <w:lang w:eastAsia="zh-CN"/>
        </w:rPr>
        <w:t>相关</w:t>
      </w:r>
      <w:r>
        <w:rPr>
          <w:rFonts w:hint="eastAsia" w:asciiTheme="minorEastAsia" w:hAnsiTheme="minorEastAsia" w:eastAsiaTheme="minorEastAsia" w:cstheme="minorEastAsia"/>
          <w:sz w:val="24"/>
          <w:szCs w:val="24"/>
        </w:rPr>
        <w:t>管理部门批准，必须做到定价合理，菜价稳定，保障供应。饭菜单价及其调价均由中标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核算后向医院</w:t>
      </w:r>
      <w:r>
        <w:rPr>
          <w:rFonts w:hint="eastAsia" w:asciiTheme="minorEastAsia" w:hAnsiTheme="minorEastAsia" w:cstheme="minorEastAsia"/>
          <w:sz w:val="24"/>
          <w:szCs w:val="24"/>
          <w:lang w:eastAsia="zh-CN"/>
        </w:rPr>
        <w:t>相关</w:t>
      </w:r>
      <w:r>
        <w:rPr>
          <w:rFonts w:hint="eastAsia" w:asciiTheme="minorEastAsia" w:hAnsiTheme="minorEastAsia" w:eastAsiaTheme="minorEastAsia" w:cstheme="minorEastAsia"/>
          <w:sz w:val="24"/>
          <w:szCs w:val="24"/>
        </w:rPr>
        <w:t>管理部门申报审批，并按审批意见执行。医院的饭堂管理小组将对饭菜价格进行审核，职工饭菜的价格</w:t>
      </w:r>
      <w:r>
        <w:rPr>
          <w:rFonts w:hint="eastAsia" w:asciiTheme="minorEastAsia" w:hAnsiTheme="minorEastAsia" w:cstheme="minorEastAsia"/>
          <w:sz w:val="24"/>
          <w:szCs w:val="24"/>
          <w:lang w:val="en-US" w:eastAsia="zh-CN"/>
        </w:rPr>
        <w:t>不得高于</w:t>
      </w:r>
      <w:r>
        <w:rPr>
          <w:rFonts w:hint="eastAsia" w:asciiTheme="minorEastAsia" w:hAnsiTheme="minorEastAsia" w:eastAsiaTheme="minorEastAsia" w:cstheme="minorEastAsia"/>
          <w:sz w:val="24"/>
          <w:szCs w:val="24"/>
        </w:rPr>
        <w:t>市场价格</w:t>
      </w:r>
      <w:r>
        <w:rPr>
          <w:rFonts w:hint="eastAsia" w:asciiTheme="minorEastAsia" w:hAnsiTheme="minorEastAsia" w:cstheme="minorEastAsia"/>
          <w:sz w:val="24"/>
          <w:szCs w:val="24"/>
          <w:lang w:eastAsia="zh-CN"/>
        </w:rPr>
        <w:t>，</w:t>
      </w:r>
      <w:r>
        <w:rPr>
          <w:rFonts w:hint="eastAsia" w:asciiTheme="minorEastAsia" w:hAnsiTheme="minorEastAsia" w:cstheme="minorEastAsia"/>
          <w:color w:val="FF0000"/>
          <w:sz w:val="24"/>
          <w:szCs w:val="24"/>
          <w:lang w:val="en-US" w:eastAsia="zh-CN"/>
        </w:rPr>
        <w:t>价格下浮比例作为评分项（</w:t>
      </w:r>
      <w:r>
        <w:rPr>
          <w:rFonts w:hint="eastAsia" w:asciiTheme="minorEastAsia" w:hAnsiTheme="minorEastAsia" w:eastAsiaTheme="minorEastAsia" w:cstheme="minorEastAsia"/>
          <w:color w:val="FF0000"/>
          <w:sz w:val="24"/>
          <w:szCs w:val="24"/>
        </w:rPr>
        <w:t>下浮</w:t>
      </w:r>
      <w:r>
        <w:rPr>
          <w:rFonts w:hint="eastAsia" w:asciiTheme="minorEastAsia" w:hAnsiTheme="minorEastAsia" w:cstheme="minorEastAsia"/>
          <w:color w:val="FF0000"/>
          <w:sz w:val="24"/>
          <w:szCs w:val="24"/>
          <w:lang w:val="en-US" w:eastAsia="zh-CN"/>
        </w:rPr>
        <w:t>比例0-</w:t>
      </w:r>
      <w:r>
        <w:rPr>
          <w:rFonts w:hint="eastAsia" w:asciiTheme="minorEastAsia" w:hAnsiTheme="minorEastAsia" w:eastAsiaTheme="minorEastAsia" w:cstheme="minorEastAsia"/>
          <w:color w:val="FF0000"/>
          <w:sz w:val="24"/>
          <w:szCs w:val="24"/>
        </w:rPr>
        <w:t>30%</w:t>
      </w:r>
      <w:r>
        <w:rPr>
          <w:rFonts w:hint="eastAsia" w:asciiTheme="minorEastAsia" w:hAnsiTheme="minorEastAsia" w:cstheme="minorEastAsia"/>
          <w:color w:val="FF0000"/>
          <w:sz w:val="24"/>
          <w:szCs w:val="24"/>
          <w:lang w:eastAsia="zh-CN"/>
        </w:rPr>
        <w:t>）</w:t>
      </w:r>
      <w:r>
        <w:rPr>
          <w:rFonts w:hint="eastAsia" w:asciiTheme="minorEastAsia" w:hAnsiTheme="minorEastAsia" w:eastAsiaTheme="minorEastAsia" w:cstheme="minorEastAsia"/>
          <w:color w:val="FF0000"/>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自主负责与病人用餐的结算。</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每个季度中标</w:t>
      </w:r>
      <w:r>
        <w:rPr>
          <w:rFonts w:hint="eastAsia" w:asciiTheme="minorEastAsia" w:hAnsiTheme="minorEastAsia" w:cstheme="minorEastAsia"/>
          <w:sz w:val="24"/>
          <w:szCs w:val="24"/>
          <w:lang w:eastAsia="zh-CN"/>
        </w:rPr>
        <w:t>人</w:t>
      </w:r>
      <w:r>
        <w:rPr>
          <w:rFonts w:hint="eastAsia" w:asciiTheme="minorEastAsia" w:hAnsiTheme="minorEastAsia" w:eastAsiaTheme="minorEastAsia" w:cstheme="minorEastAsia"/>
          <w:sz w:val="24"/>
          <w:szCs w:val="24"/>
        </w:rPr>
        <w:t>需无条件配合和支持院方举办美食节活动。</w:t>
      </w:r>
    </w:p>
    <w:p>
      <w:pPr>
        <w:widowControl/>
        <w:numPr>
          <w:ilvl w:val="0"/>
          <w:numId w:val="1"/>
        </w:numPr>
        <w:spacing w:before="100" w:beforeAutospacing="1" w:after="100" w:afterAutospacing="1" w:line="360" w:lineRule="auto"/>
        <w:ind w:left="0" w:leftChars="0" w:firstLine="420" w:firstLineChars="0"/>
        <w:rPr>
          <w:rFonts w:hint="eastAsia" w:ascii="方正小标宋简体" w:hAnsi="方正小标宋简体" w:eastAsia="方正小标宋简体" w:cs="方正小标宋简体"/>
          <w:b w:val="0"/>
          <w:bCs w:val="0"/>
          <w:sz w:val="24"/>
          <w:szCs w:val="24"/>
          <w:shd w:val="clear" w:color="auto" w:fill="FFFFFF"/>
          <w:lang w:val="en-US" w:eastAsia="zh-CN"/>
        </w:rPr>
      </w:pPr>
      <w:r>
        <w:rPr>
          <w:rFonts w:hint="eastAsia" w:ascii="方正小标宋简体" w:hAnsi="方正小标宋简体" w:eastAsia="方正小标宋简体" w:cs="方正小标宋简体"/>
          <w:b w:val="0"/>
          <w:bCs w:val="0"/>
          <w:sz w:val="24"/>
          <w:szCs w:val="24"/>
          <w:shd w:val="clear" w:color="auto" w:fill="FFFFFF"/>
          <w:lang w:val="en-US" w:eastAsia="zh-CN"/>
        </w:rPr>
        <w:t>人员要求：</w:t>
      </w:r>
    </w:p>
    <w:p>
      <w:pPr>
        <w:numPr>
          <w:ilvl w:val="0"/>
          <w:numId w:val="3"/>
        </w:numPr>
        <w:bidi w:val="0"/>
        <w:spacing w:line="360" w:lineRule="auto"/>
        <w:rPr>
          <w:rFonts w:hint="eastAsia"/>
          <w:sz w:val="24"/>
          <w:szCs w:val="24"/>
          <w:lang w:val="en-US" w:eastAsia="zh-CN"/>
        </w:rPr>
      </w:pPr>
      <w:r>
        <w:rPr>
          <w:rFonts w:hint="eastAsia"/>
          <w:sz w:val="24"/>
          <w:szCs w:val="24"/>
          <w:lang w:val="en-US" w:eastAsia="zh-CN"/>
        </w:rPr>
        <w:t>所有服务人员必须持有医疗机构颁发的有效健康证。</w:t>
      </w:r>
    </w:p>
    <w:p>
      <w:pPr>
        <w:numPr>
          <w:ilvl w:val="0"/>
          <w:numId w:val="3"/>
        </w:numPr>
        <w:bidi w:val="0"/>
        <w:spacing w:line="360" w:lineRule="auto"/>
        <w:rPr>
          <w:rFonts w:hint="eastAsia"/>
          <w:sz w:val="24"/>
          <w:szCs w:val="24"/>
          <w:lang w:val="en-US" w:eastAsia="zh-CN"/>
        </w:rPr>
      </w:pPr>
      <w:r>
        <w:rPr>
          <w:rFonts w:hint="eastAsia"/>
          <w:sz w:val="24"/>
          <w:szCs w:val="24"/>
          <w:lang w:val="en-US" w:eastAsia="zh-CN"/>
        </w:rPr>
        <w:t>服务人员着装统一同，整洁干净。</w:t>
      </w:r>
    </w:p>
    <w:p>
      <w:pPr>
        <w:numPr>
          <w:ilvl w:val="0"/>
          <w:numId w:val="3"/>
        </w:numPr>
        <w:bidi w:val="0"/>
        <w:spacing w:line="360" w:lineRule="auto"/>
        <w:rPr>
          <w:rFonts w:hint="eastAsia"/>
          <w:sz w:val="24"/>
          <w:szCs w:val="24"/>
        </w:rPr>
      </w:pPr>
      <w:r>
        <w:rPr>
          <w:rFonts w:hint="eastAsia"/>
          <w:sz w:val="24"/>
          <w:szCs w:val="24"/>
          <w:lang w:val="en-US" w:eastAsia="zh-CN"/>
        </w:rPr>
        <w:t>对顾客热情礼貌，讲话文明，服务周到。</w:t>
      </w:r>
    </w:p>
    <w:p>
      <w:pPr>
        <w:pStyle w:val="5"/>
      </w:pPr>
    </w:p>
    <w:p>
      <w:pPr>
        <w:widowControl/>
        <w:numPr>
          <w:ilvl w:val="0"/>
          <w:numId w:val="1"/>
        </w:numPr>
        <w:spacing w:before="100" w:beforeAutospacing="1" w:after="100" w:afterAutospacing="1" w:line="360" w:lineRule="auto"/>
        <w:ind w:left="0" w:leftChars="0" w:firstLine="420" w:firstLineChars="0"/>
        <w:rPr>
          <w:rFonts w:hint="eastAsia" w:ascii="宋体" w:hAnsi="宋体" w:eastAsia="宋体" w:cs="宋体"/>
          <w:bCs/>
          <w:sz w:val="24"/>
          <w:szCs w:val="24"/>
        </w:rPr>
      </w:pPr>
      <w:r>
        <w:rPr>
          <w:rFonts w:hint="eastAsia" w:ascii="方正小标宋简体" w:hAnsi="方正小标宋简体" w:eastAsia="方正小标宋简体" w:cs="方正小标宋简体"/>
          <w:b w:val="0"/>
          <w:bCs w:val="0"/>
          <w:sz w:val="24"/>
          <w:szCs w:val="24"/>
          <w:shd w:val="clear" w:color="auto" w:fill="FFFFFF"/>
          <w:lang w:val="en-US" w:eastAsia="zh-CN"/>
        </w:rPr>
        <w:t>服务时间:</w:t>
      </w:r>
    </w:p>
    <w:p>
      <w:pPr>
        <w:widowControl/>
        <w:numPr>
          <w:ilvl w:val="0"/>
          <w:numId w:val="0"/>
        </w:numPr>
        <w:spacing w:before="100" w:beforeAutospacing="1" w:after="100" w:afterAutospacing="1" w:line="360" w:lineRule="auto"/>
        <w:ind w:firstLine="480" w:firstLineChars="200"/>
        <w:rPr>
          <w:rFonts w:hint="eastAsia" w:ascii="宋体" w:hAnsi="宋体" w:eastAsia="宋体" w:cs="宋体"/>
          <w:bCs/>
          <w:sz w:val="24"/>
          <w:szCs w:val="24"/>
        </w:rPr>
      </w:pPr>
      <w:r>
        <w:rPr>
          <w:rFonts w:hint="eastAsia" w:ascii="宋体" w:hAnsi="宋体" w:eastAsia="宋体" w:cs="宋体"/>
          <w:b w:val="0"/>
          <w:bCs w:val="0"/>
          <w:sz w:val="24"/>
          <w:szCs w:val="24"/>
          <w:lang w:eastAsia="zh-CN"/>
        </w:rPr>
        <w:t>自</w:t>
      </w:r>
      <w:r>
        <w:rPr>
          <w:rFonts w:hint="eastAsia" w:ascii="宋体" w:hAnsi="宋体" w:eastAsia="宋体" w:cs="宋体"/>
          <w:bCs/>
          <w:sz w:val="24"/>
          <w:szCs w:val="24"/>
          <w:highlight w:val="none"/>
        </w:rPr>
        <w:t>合同签订之日起</w:t>
      </w:r>
      <w:r>
        <w:rPr>
          <w:rFonts w:hint="eastAsia" w:ascii="宋体" w:hAnsi="宋体" w:eastAsia="宋体" w:cs="宋体"/>
          <w:bCs/>
          <w:sz w:val="24"/>
          <w:szCs w:val="24"/>
          <w:lang w:val="en-US" w:eastAsia="zh-CN"/>
        </w:rPr>
        <w:t>1年。本项目为长期服务类项目，第一年为本次招标的中标服务期限，采购人可根据项目需求和中标供应商的履约情况确定合同期限是否延长，但最长不超过三年，合同一年一签。</w:t>
      </w:r>
    </w:p>
    <w:p>
      <w:pPr>
        <w:widowControl/>
        <w:numPr>
          <w:ilvl w:val="0"/>
          <w:numId w:val="1"/>
        </w:numPr>
        <w:spacing w:before="100" w:beforeAutospacing="1" w:after="100" w:afterAutospacing="1" w:line="360" w:lineRule="auto"/>
        <w:ind w:left="0" w:leftChars="0" w:firstLine="420" w:firstLineChars="0"/>
        <w:rPr>
          <w:rFonts w:hint="eastAsia" w:ascii="方正小标宋简体" w:hAnsi="方正小标宋简体" w:eastAsia="方正小标宋简体" w:cs="方正小标宋简体"/>
          <w:b w:val="0"/>
          <w:bCs w:val="0"/>
          <w:sz w:val="24"/>
          <w:szCs w:val="24"/>
          <w:shd w:val="clear" w:color="auto" w:fill="FFFFFF"/>
          <w:lang w:val="en-US" w:eastAsia="zh-CN"/>
        </w:rPr>
      </w:pPr>
      <w:r>
        <w:rPr>
          <w:rFonts w:hint="eastAsia" w:ascii="方正小标宋简体" w:hAnsi="方正小标宋简体" w:eastAsia="方正小标宋简体" w:cs="方正小标宋简体"/>
          <w:b w:val="0"/>
          <w:bCs w:val="0"/>
          <w:sz w:val="24"/>
          <w:szCs w:val="24"/>
          <w:shd w:val="clear" w:color="auto" w:fill="FFFFFF"/>
          <w:lang w:val="en-US" w:eastAsia="zh-CN"/>
        </w:rPr>
        <w:t>相关费用要求：</w:t>
      </w:r>
    </w:p>
    <w:p>
      <w:pPr>
        <w:numPr>
          <w:ilvl w:val="0"/>
          <w:numId w:val="4"/>
        </w:numPr>
        <w:bidi w:val="0"/>
        <w:spacing w:line="360" w:lineRule="auto"/>
        <w:rPr>
          <w:rFonts w:hint="default"/>
          <w:sz w:val="24"/>
          <w:szCs w:val="24"/>
          <w:highlight w:val="none"/>
          <w:lang w:val="en-US" w:eastAsia="zh-CN"/>
        </w:rPr>
      </w:pPr>
      <w:r>
        <w:rPr>
          <w:rFonts w:hint="eastAsia"/>
          <w:sz w:val="24"/>
          <w:szCs w:val="24"/>
          <w:highlight w:val="none"/>
          <w:lang w:val="en-US" w:eastAsia="zh-CN"/>
        </w:rPr>
        <w:t>履约保证金：30万元，作为餐饮经营期间的食品安全和经营安全保证金。在发生食品安全事故或中标人弃标时，用此款垫付受害人员的医疗费用或餐饮服务的启动费用。待事故原因调查清楚后，根据调查结果决定此款的归还或回收。合同到期后，在中标人完成合同所有规定的条款，30日内归还中标人（不计利息）。履约保证金在合同签订后一周内缴纳。</w:t>
      </w:r>
    </w:p>
    <w:p>
      <w:pPr>
        <w:numPr>
          <w:ilvl w:val="0"/>
          <w:numId w:val="4"/>
        </w:numPr>
        <w:bidi w:val="0"/>
        <w:spacing w:line="360" w:lineRule="auto"/>
        <w:rPr>
          <w:rFonts w:hint="default"/>
          <w:sz w:val="24"/>
          <w:szCs w:val="24"/>
          <w:highlight w:val="none"/>
          <w:lang w:val="en-US" w:eastAsia="zh-CN"/>
        </w:rPr>
      </w:pPr>
      <w:r>
        <w:rPr>
          <w:rFonts w:hint="eastAsia"/>
          <w:sz w:val="24"/>
          <w:szCs w:val="24"/>
          <w:highlight w:val="none"/>
          <w:lang w:val="en-US" w:eastAsia="zh-CN"/>
        </w:rPr>
        <w:t>管理费：作为医院提供中标人经营地点及相关设备设施的使用费。</w:t>
      </w:r>
      <w:r>
        <w:rPr>
          <w:rFonts w:hint="eastAsia"/>
          <w:color w:val="FF0000"/>
          <w:sz w:val="24"/>
          <w:szCs w:val="24"/>
          <w:highlight w:val="none"/>
          <w:lang w:val="en-US" w:eastAsia="zh-CN"/>
        </w:rPr>
        <w:t>起价为70元/平米/月（福田区2017年出租指导价）出租单价作为论证项目。</w:t>
      </w:r>
      <w:r>
        <w:rPr>
          <w:rFonts w:hint="eastAsia"/>
          <w:sz w:val="24"/>
          <w:szCs w:val="24"/>
          <w:highlight w:val="none"/>
          <w:lang w:val="en-US" w:eastAsia="zh-CN"/>
        </w:rPr>
        <w:t>管理费用按季度收取，每季按预交的方式交纳。逾期视同放弃承包权，自动解除承包合</w:t>
      </w:r>
      <w:bookmarkStart w:id="1" w:name="_GoBack"/>
      <w:bookmarkEnd w:id="1"/>
      <w:r>
        <w:rPr>
          <w:rFonts w:hint="eastAsia"/>
          <w:sz w:val="24"/>
          <w:szCs w:val="24"/>
          <w:highlight w:val="none"/>
          <w:lang w:val="en-US" w:eastAsia="zh-CN"/>
        </w:rPr>
        <w:t>同，租赁保证金不予退回。</w:t>
      </w:r>
    </w:p>
    <w:p>
      <w:pPr>
        <w:numPr>
          <w:ilvl w:val="0"/>
          <w:numId w:val="4"/>
        </w:numPr>
        <w:bidi w:val="0"/>
        <w:spacing w:line="360" w:lineRule="auto"/>
        <w:rPr>
          <w:rFonts w:hint="default"/>
          <w:sz w:val="24"/>
          <w:szCs w:val="24"/>
          <w:highlight w:val="none"/>
          <w:lang w:val="en-US" w:eastAsia="zh-CN"/>
        </w:rPr>
      </w:pPr>
      <w:r>
        <w:rPr>
          <w:rFonts w:hint="eastAsia"/>
          <w:sz w:val="24"/>
          <w:szCs w:val="24"/>
          <w:highlight w:val="none"/>
          <w:lang w:val="en-US" w:eastAsia="zh-CN"/>
        </w:rPr>
        <w:t>经营中的用水、用电、用气等使用费用，按完装的度量设备的计量和供应商规定的价格，每月缴纳实际使用费用。</w:t>
      </w:r>
    </w:p>
    <w:p>
      <w:pPr>
        <w:widowControl/>
        <w:numPr>
          <w:ilvl w:val="0"/>
          <w:numId w:val="1"/>
        </w:numPr>
        <w:spacing w:before="100" w:beforeAutospacing="1" w:after="100" w:afterAutospacing="1" w:line="360" w:lineRule="auto"/>
        <w:ind w:left="0" w:leftChars="0" w:firstLine="420" w:firstLineChars="0"/>
        <w:rPr>
          <w:rFonts w:hint="default" w:ascii="方正小标宋简体" w:hAnsi="方正小标宋简体" w:eastAsia="方正小标宋简体" w:cs="方正小标宋简体"/>
          <w:b w:val="0"/>
          <w:bCs w:val="0"/>
          <w:sz w:val="24"/>
          <w:szCs w:val="24"/>
          <w:shd w:val="clear" w:color="auto" w:fill="FFFFFF"/>
          <w:lang w:val="en-US" w:eastAsia="zh-CN"/>
        </w:rPr>
      </w:pPr>
      <w:r>
        <w:rPr>
          <w:rFonts w:hint="eastAsia" w:ascii="方正小标宋简体" w:hAnsi="方正小标宋简体" w:eastAsia="方正小标宋简体" w:cs="方正小标宋简体"/>
          <w:b w:val="0"/>
          <w:bCs w:val="0"/>
          <w:sz w:val="24"/>
          <w:szCs w:val="24"/>
          <w:shd w:val="clear" w:color="auto" w:fill="FFFFFF"/>
          <w:lang w:val="en-US" w:eastAsia="zh-CN"/>
        </w:rPr>
        <w:t>违约责任：</w:t>
      </w:r>
    </w:p>
    <w:p>
      <w:pPr>
        <w:pStyle w:val="2"/>
        <w:rPr>
          <w:rFonts w:hint="default"/>
          <w:lang w:val="en-US" w:eastAsia="zh-CN"/>
        </w:rPr>
      </w:pPr>
    </w:p>
    <w:p>
      <w:pPr>
        <w:numPr>
          <w:ilvl w:val="0"/>
          <w:numId w:val="5"/>
        </w:numPr>
        <w:bidi w:val="0"/>
        <w:spacing w:line="360" w:lineRule="auto"/>
        <w:rPr>
          <w:sz w:val="24"/>
          <w:szCs w:val="24"/>
        </w:rPr>
      </w:pPr>
      <w:r>
        <w:rPr>
          <w:rFonts w:hint="eastAsia"/>
          <w:sz w:val="24"/>
          <w:szCs w:val="24"/>
          <w:lang w:eastAsia="zh-CN"/>
        </w:rPr>
        <w:t>中标人</w:t>
      </w:r>
      <w:r>
        <w:rPr>
          <w:rFonts w:hint="eastAsia"/>
          <w:sz w:val="24"/>
          <w:szCs w:val="24"/>
        </w:rPr>
        <w:t>所</w:t>
      </w:r>
      <w:r>
        <w:rPr>
          <w:rFonts w:hint="eastAsia"/>
          <w:sz w:val="24"/>
          <w:szCs w:val="24"/>
          <w:lang w:val="en-US" w:eastAsia="zh-CN"/>
        </w:rPr>
        <w:t>有</w:t>
      </w:r>
      <w:r>
        <w:rPr>
          <w:rFonts w:hint="eastAsia"/>
          <w:sz w:val="24"/>
          <w:szCs w:val="24"/>
        </w:rPr>
        <w:t>售卖</w:t>
      </w:r>
      <w:r>
        <w:rPr>
          <w:rFonts w:hint="eastAsia"/>
          <w:sz w:val="24"/>
          <w:szCs w:val="24"/>
          <w:lang w:eastAsia="zh-CN"/>
        </w:rPr>
        <w:t>食品</w:t>
      </w:r>
      <w:r>
        <w:rPr>
          <w:rFonts w:hint="eastAsia"/>
          <w:sz w:val="24"/>
          <w:szCs w:val="24"/>
        </w:rPr>
        <w:t>的品种、型号、规格、质量、功能、技术参数等方面不能实质性满足招标文件要求，</w:t>
      </w:r>
      <w:r>
        <w:rPr>
          <w:rFonts w:hint="eastAsia"/>
          <w:sz w:val="24"/>
          <w:szCs w:val="24"/>
          <w:lang w:eastAsia="zh-CN"/>
        </w:rPr>
        <w:t>采购</w:t>
      </w:r>
      <w:r>
        <w:rPr>
          <w:rFonts w:hint="eastAsia"/>
          <w:sz w:val="24"/>
          <w:szCs w:val="24"/>
        </w:rPr>
        <w:t>人有权要求</w:t>
      </w:r>
      <w:r>
        <w:rPr>
          <w:rFonts w:hint="eastAsia"/>
          <w:sz w:val="24"/>
          <w:szCs w:val="24"/>
          <w:lang w:eastAsia="zh-CN"/>
        </w:rPr>
        <w:t>中标人</w:t>
      </w:r>
      <w:r>
        <w:rPr>
          <w:rFonts w:hint="eastAsia"/>
          <w:sz w:val="24"/>
          <w:szCs w:val="24"/>
          <w:lang w:val="en-US" w:eastAsia="zh-CN"/>
        </w:rPr>
        <w:t>限时</w:t>
      </w:r>
      <w:r>
        <w:rPr>
          <w:rFonts w:hint="eastAsia"/>
          <w:sz w:val="24"/>
          <w:szCs w:val="24"/>
        </w:rPr>
        <w:t>整改</w:t>
      </w:r>
      <w:r>
        <w:rPr>
          <w:rFonts w:hint="eastAsia"/>
          <w:sz w:val="24"/>
          <w:szCs w:val="24"/>
          <w:lang w:eastAsia="zh-CN"/>
        </w:rPr>
        <w:t>。</w:t>
      </w:r>
      <w:r>
        <w:rPr>
          <w:rFonts w:hint="eastAsia"/>
          <w:sz w:val="24"/>
          <w:szCs w:val="24"/>
          <w:lang w:val="en-US" w:eastAsia="zh-CN"/>
        </w:rPr>
        <w:t>超时整改或拒绝整改的，</w:t>
      </w:r>
      <w:r>
        <w:rPr>
          <w:rFonts w:hint="eastAsia"/>
          <w:sz w:val="24"/>
          <w:szCs w:val="24"/>
          <w:lang w:eastAsia="zh-CN"/>
        </w:rPr>
        <w:t>中标人</w:t>
      </w:r>
      <w:r>
        <w:rPr>
          <w:rFonts w:hint="eastAsia"/>
          <w:sz w:val="24"/>
          <w:szCs w:val="24"/>
        </w:rPr>
        <w:t>向</w:t>
      </w:r>
      <w:r>
        <w:rPr>
          <w:rFonts w:hint="eastAsia"/>
          <w:sz w:val="24"/>
          <w:szCs w:val="24"/>
          <w:lang w:eastAsia="zh-CN"/>
        </w:rPr>
        <w:t>采购</w:t>
      </w:r>
      <w:r>
        <w:rPr>
          <w:rFonts w:hint="eastAsia"/>
          <w:sz w:val="24"/>
          <w:szCs w:val="24"/>
        </w:rPr>
        <w:t>人支付</w:t>
      </w:r>
      <w:r>
        <w:rPr>
          <w:rFonts w:hint="eastAsia"/>
          <w:sz w:val="24"/>
          <w:szCs w:val="24"/>
          <w:lang w:val="en-US" w:eastAsia="zh-CN"/>
        </w:rPr>
        <w:t>本月餐饮服务总费用的</w:t>
      </w:r>
      <w:r>
        <w:rPr>
          <w:rFonts w:hint="eastAsia"/>
          <w:sz w:val="24"/>
          <w:szCs w:val="24"/>
        </w:rPr>
        <w:t>5%</w:t>
      </w:r>
      <w:r>
        <w:rPr>
          <w:rFonts w:hint="eastAsia"/>
          <w:sz w:val="24"/>
          <w:szCs w:val="24"/>
          <w:lang w:val="en-US" w:eastAsia="zh-CN"/>
        </w:rPr>
        <w:t>作为罚金</w:t>
      </w:r>
      <w:r>
        <w:rPr>
          <w:rFonts w:hint="eastAsia"/>
          <w:sz w:val="24"/>
          <w:szCs w:val="24"/>
        </w:rPr>
        <w:t>。</w:t>
      </w:r>
    </w:p>
    <w:p>
      <w:pPr>
        <w:numPr>
          <w:ilvl w:val="0"/>
          <w:numId w:val="5"/>
        </w:numPr>
        <w:bidi w:val="0"/>
        <w:spacing w:line="360" w:lineRule="auto"/>
        <w:rPr>
          <w:rFonts w:hint="default"/>
          <w:sz w:val="24"/>
          <w:szCs w:val="24"/>
          <w:lang w:val="en-US" w:eastAsia="zh-CN"/>
        </w:rPr>
      </w:pPr>
      <w:r>
        <w:rPr>
          <w:rFonts w:hint="eastAsia"/>
          <w:sz w:val="24"/>
          <w:szCs w:val="24"/>
          <w:lang w:val="en-US" w:eastAsia="zh-CN"/>
        </w:rPr>
        <w:t>如因中标人单方面原因拒绝履行合同，履约保证金及已交付的租金不予退还，作为赔偿采购人的相关损失。</w:t>
      </w:r>
    </w:p>
    <w:p>
      <w:pPr>
        <w:widowControl/>
        <w:numPr>
          <w:ilvl w:val="0"/>
          <w:numId w:val="1"/>
        </w:numPr>
        <w:spacing w:before="100" w:beforeAutospacing="1" w:after="100" w:afterAutospacing="1" w:line="360" w:lineRule="auto"/>
        <w:ind w:left="0" w:leftChars="0" w:firstLine="420" w:firstLineChars="0"/>
        <w:rPr>
          <w:rFonts w:hint="eastAsia" w:ascii="方正小标宋简体" w:hAnsi="方正小标宋简体" w:eastAsia="方正小标宋简体" w:cs="方正小标宋简体"/>
          <w:b w:val="0"/>
          <w:bCs w:val="0"/>
          <w:sz w:val="24"/>
          <w:szCs w:val="24"/>
          <w:shd w:val="clear" w:color="auto" w:fill="FFFFFF"/>
          <w:lang w:val="en-US" w:eastAsia="zh-CN"/>
        </w:rPr>
      </w:pPr>
      <w:r>
        <w:rPr>
          <w:rFonts w:hint="eastAsia" w:ascii="方正小标宋简体" w:hAnsi="方正小标宋简体" w:eastAsia="方正小标宋简体" w:cs="方正小标宋简体"/>
          <w:b w:val="0"/>
          <w:bCs w:val="0"/>
          <w:sz w:val="24"/>
          <w:szCs w:val="24"/>
          <w:shd w:val="clear" w:color="auto" w:fill="FFFFFF"/>
          <w:lang w:val="en-US" w:eastAsia="zh-CN"/>
        </w:rPr>
        <w:t>结算方式：据实结算</w:t>
      </w:r>
    </w:p>
    <w:p>
      <w:pPr>
        <w:numPr>
          <w:ilvl w:val="0"/>
          <w:numId w:val="0"/>
        </w:num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合同签订后，</w:t>
      </w:r>
      <w:r>
        <w:rPr>
          <w:rFonts w:hint="eastAsia" w:ascii="宋体" w:hAnsi="宋体" w:eastAsia="宋体" w:cs="宋体"/>
          <w:b w:val="0"/>
          <w:bCs w:val="0"/>
          <w:sz w:val="24"/>
          <w:szCs w:val="24"/>
          <w:lang w:val="en-US" w:eastAsia="zh-CN"/>
        </w:rPr>
        <w:t>中标人于次月10日前，将上月餐饮清单汇总表及其它采购人所需付款资料提交至采购人核对，双方确认一致后，中标人向采购人出具与上月结算金额等额的发票，自发票到达采购人财务之日起30日（最长不超过90日）内，采购人向中标人支行发票等额货款。</w:t>
      </w:r>
    </w:p>
    <w:p>
      <w:pPr>
        <w:spacing w:line="540" w:lineRule="exact"/>
        <w:jc w:val="both"/>
        <w:rPr>
          <w:rFonts w:ascii="Times New Roman" w:hAnsi="Times New Roman" w:eastAsia="仿宋_GB2312" w:cs="Times New Roman"/>
          <w:sz w:val="22"/>
          <w:szCs w:val="22"/>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长城仿宋">
    <w:altName w:val="微软雅黑"/>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firstLine="0"/>
      <w:jc w:val="left"/>
      <w:rPr>
        <w:rFonts w:ascii="仿宋" w:hAnsi="仿宋" w:eastAsia="仿宋" w:cs="仿宋"/>
        <w:sz w:val="20"/>
        <w:szCs w:val="24"/>
        <w:lang w:val="en-US" w:eastAsia="en-US"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C0D71"/>
    <w:multiLevelType w:val="singleLevel"/>
    <w:tmpl w:val="8D8C0D71"/>
    <w:lvl w:ilvl="0" w:tentative="0">
      <w:start w:val="1"/>
      <w:numFmt w:val="chineseCounting"/>
      <w:suff w:val="nothing"/>
      <w:lvlText w:val="%1、"/>
      <w:lvlJc w:val="left"/>
      <w:pPr>
        <w:ind w:left="0" w:firstLine="420"/>
      </w:pPr>
      <w:rPr>
        <w:rFonts w:hint="eastAsia"/>
        <w:b/>
        <w:bCs/>
      </w:rPr>
    </w:lvl>
  </w:abstractNum>
  <w:abstractNum w:abstractNumId="1">
    <w:nsid w:val="946EACF2"/>
    <w:multiLevelType w:val="singleLevel"/>
    <w:tmpl w:val="946EACF2"/>
    <w:lvl w:ilvl="0" w:tentative="0">
      <w:start w:val="1"/>
      <w:numFmt w:val="decimal"/>
      <w:suff w:val="nothing"/>
      <w:lvlText w:val="%1．"/>
      <w:lvlJc w:val="left"/>
      <w:pPr>
        <w:ind w:left="0" w:firstLine="400"/>
      </w:pPr>
      <w:rPr>
        <w:rFonts w:hint="default"/>
      </w:rPr>
    </w:lvl>
  </w:abstractNum>
  <w:abstractNum w:abstractNumId="2">
    <w:nsid w:val="FAB9FC23"/>
    <w:multiLevelType w:val="singleLevel"/>
    <w:tmpl w:val="FAB9FC23"/>
    <w:lvl w:ilvl="0" w:tentative="0">
      <w:start w:val="1"/>
      <w:numFmt w:val="decimal"/>
      <w:suff w:val="nothing"/>
      <w:lvlText w:val="%1．"/>
      <w:lvlJc w:val="left"/>
      <w:pPr>
        <w:ind w:left="0" w:firstLine="400"/>
      </w:pPr>
      <w:rPr>
        <w:rFonts w:hint="default"/>
      </w:rPr>
    </w:lvl>
  </w:abstractNum>
  <w:abstractNum w:abstractNumId="3">
    <w:nsid w:val="47F68A2F"/>
    <w:multiLevelType w:val="singleLevel"/>
    <w:tmpl w:val="47F68A2F"/>
    <w:lvl w:ilvl="0" w:tentative="0">
      <w:start w:val="1"/>
      <w:numFmt w:val="decimal"/>
      <w:suff w:val="nothing"/>
      <w:lvlText w:val="%1．"/>
      <w:lvlJc w:val="left"/>
      <w:pPr>
        <w:ind w:left="0" w:firstLine="400"/>
      </w:pPr>
      <w:rPr>
        <w:rFonts w:hint="default"/>
      </w:rPr>
    </w:lvl>
  </w:abstractNum>
  <w:abstractNum w:abstractNumId="4">
    <w:nsid w:val="56FBA515"/>
    <w:multiLevelType w:val="singleLevel"/>
    <w:tmpl w:val="56FBA515"/>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YjMzY2Y3NjdjMGM1NDJiYjI1MGE2MWEyNTVkNTYifQ=="/>
  </w:docVars>
  <w:rsids>
    <w:rsidRoot w:val="4FFC5FA2"/>
    <w:rsid w:val="000624C6"/>
    <w:rsid w:val="001C35EF"/>
    <w:rsid w:val="006105BC"/>
    <w:rsid w:val="006A471C"/>
    <w:rsid w:val="00A23411"/>
    <w:rsid w:val="00C528DB"/>
    <w:rsid w:val="031B4DDD"/>
    <w:rsid w:val="05C30855"/>
    <w:rsid w:val="066639D5"/>
    <w:rsid w:val="07207949"/>
    <w:rsid w:val="08B6005B"/>
    <w:rsid w:val="0AF34F6D"/>
    <w:rsid w:val="0CB734F0"/>
    <w:rsid w:val="109F26E4"/>
    <w:rsid w:val="13C045D3"/>
    <w:rsid w:val="14E07226"/>
    <w:rsid w:val="154E4416"/>
    <w:rsid w:val="168B310E"/>
    <w:rsid w:val="18823C45"/>
    <w:rsid w:val="1AB64061"/>
    <w:rsid w:val="1BE64926"/>
    <w:rsid w:val="1D390E43"/>
    <w:rsid w:val="1E7239A4"/>
    <w:rsid w:val="1E7D169F"/>
    <w:rsid w:val="20DB2F52"/>
    <w:rsid w:val="228C6B97"/>
    <w:rsid w:val="25F37AAF"/>
    <w:rsid w:val="26180E7B"/>
    <w:rsid w:val="27611031"/>
    <w:rsid w:val="2B5014F4"/>
    <w:rsid w:val="2F4B1AAD"/>
    <w:rsid w:val="2F5939CF"/>
    <w:rsid w:val="3001707A"/>
    <w:rsid w:val="3215472C"/>
    <w:rsid w:val="32AD00B9"/>
    <w:rsid w:val="34815751"/>
    <w:rsid w:val="35400969"/>
    <w:rsid w:val="36BC2F59"/>
    <w:rsid w:val="370B0B2C"/>
    <w:rsid w:val="37411EAA"/>
    <w:rsid w:val="39FD4282"/>
    <w:rsid w:val="3AF109F6"/>
    <w:rsid w:val="3AFF6D0B"/>
    <w:rsid w:val="3B4A6275"/>
    <w:rsid w:val="3B915A92"/>
    <w:rsid w:val="3BDB4DF3"/>
    <w:rsid w:val="3C9A6F62"/>
    <w:rsid w:val="3E0233F7"/>
    <w:rsid w:val="409E7598"/>
    <w:rsid w:val="41B216C5"/>
    <w:rsid w:val="420B225C"/>
    <w:rsid w:val="4811248E"/>
    <w:rsid w:val="48C05B26"/>
    <w:rsid w:val="48E61E4B"/>
    <w:rsid w:val="4A1C3C31"/>
    <w:rsid w:val="4B0C22F0"/>
    <w:rsid w:val="4EE203B7"/>
    <w:rsid w:val="4FFC5FA2"/>
    <w:rsid w:val="523B17BE"/>
    <w:rsid w:val="53460CB6"/>
    <w:rsid w:val="56827255"/>
    <w:rsid w:val="56FA2A30"/>
    <w:rsid w:val="5B285746"/>
    <w:rsid w:val="5B9D1491"/>
    <w:rsid w:val="608E2BDB"/>
    <w:rsid w:val="62355AF7"/>
    <w:rsid w:val="62EA2ED9"/>
    <w:rsid w:val="691D3680"/>
    <w:rsid w:val="6CDB5633"/>
    <w:rsid w:val="70866F42"/>
    <w:rsid w:val="787F6FAE"/>
    <w:rsid w:val="7A2B0238"/>
    <w:rsid w:val="7BB865F7"/>
    <w:rsid w:val="7CD56FFA"/>
    <w:rsid w:val="7D34021E"/>
    <w:rsid w:val="7DFF2EA4"/>
    <w:rsid w:val="7E0A2AE6"/>
    <w:rsid w:val="7F170FBC"/>
    <w:rsid w:val="7F46351C"/>
    <w:rsid w:val="7FD74C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styleId="3">
    <w:name w:val="Normal Indent"/>
    <w:basedOn w:val="1"/>
    <w:qFormat/>
    <w:uiPriority w:val="0"/>
    <w:pPr>
      <w:adjustRightInd w:val="0"/>
      <w:spacing w:line="360" w:lineRule="atLeast"/>
      <w:ind w:firstLine="420"/>
      <w:jc w:val="left"/>
      <w:textAlignment w:val="baseline"/>
    </w:pPr>
    <w:rPr>
      <w:kern w:val="0"/>
      <w:sz w:val="24"/>
    </w:rPr>
  </w:style>
  <w:style w:type="paragraph" w:styleId="4">
    <w:name w:val="annotation text"/>
    <w:basedOn w:val="1"/>
    <w:qFormat/>
    <w:uiPriority w:val="0"/>
    <w:pPr>
      <w:jc w:val="left"/>
    </w:pPr>
  </w:style>
  <w:style w:type="paragraph" w:styleId="5">
    <w:name w:val="Body Text"/>
    <w:basedOn w:val="1"/>
    <w:next w:val="1"/>
    <w:qFormat/>
    <w:uiPriority w:val="0"/>
    <w:pPr>
      <w:spacing w:line="360" w:lineRule="auto"/>
    </w:pPr>
    <w:rPr>
      <w:szCs w:val="20"/>
    </w:rPr>
  </w:style>
  <w:style w:type="paragraph" w:styleId="6">
    <w:name w:val="Body Text Indent"/>
    <w:basedOn w:val="1"/>
    <w:qFormat/>
    <w:uiPriority w:val="0"/>
    <w:pPr>
      <w:spacing w:line="560" w:lineRule="exact"/>
      <w:ind w:left="300"/>
    </w:pPr>
    <w:rPr>
      <w:sz w:val="24"/>
    </w:rPr>
  </w:style>
  <w:style w:type="paragraph" w:styleId="7">
    <w:name w:val="Plain Text"/>
    <w:basedOn w:val="1"/>
    <w:next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99"/>
    <w:pPr>
      <w:spacing w:beforeAutospacing="1" w:afterAutospacing="1"/>
      <w:jc w:val="left"/>
    </w:pPr>
    <w:rPr>
      <w:rFonts w:cs="Times New Roman"/>
      <w:kern w:val="0"/>
      <w:sz w:val="24"/>
    </w:rPr>
  </w:style>
  <w:style w:type="paragraph" w:styleId="11">
    <w:name w:val="Body Text First Indent 2"/>
    <w:basedOn w:val="6"/>
    <w:next w:val="1"/>
    <w:qFormat/>
    <w:uiPriority w:val="0"/>
    <w:pPr>
      <w:ind w:firstLine="420" w:firstLineChars="20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qFormat/>
    <w:uiPriority w:val="99"/>
    <w:rPr>
      <w:sz w:val="21"/>
      <w:szCs w:val="21"/>
    </w:rPr>
  </w:style>
  <w:style w:type="paragraph" w:customStyle="1" w:styleId="16">
    <w:name w:val="List Paragraph"/>
    <w:basedOn w:val="1"/>
    <w:qFormat/>
    <w:uiPriority w:val="0"/>
    <w:pPr>
      <w:ind w:firstLine="420" w:firstLineChars="200"/>
    </w:pPr>
    <w:rPr>
      <w:rFonts w:ascii="Times New Roman" w:hAnsi="Times New Roman" w:eastAsia="宋体" w:cs="Times New Roman"/>
      <w:szCs w:val="20"/>
    </w:rPr>
  </w:style>
  <w:style w:type="paragraph" w:customStyle="1" w:styleId="1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
    <w:name w:val="列出段落1"/>
    <w:basedOn w:val="1"/>
    <w:qFormat/>
    <w:uiPriority w:val="0"/>
    <w:pPr>
      <w:ind w:firstLine="420" w:firstLineChars="200"/>
    </w:pPr>
    <w:rPr>
      <w:rFonts w:ascii="Times New Roman" w:hAnsi="Times New Roman" w:eastAsia="宋体" w:cs="Times New Roman"/>
    </w:rPr>
  </w:style>
  <w:style w:type="paragraph" w:customStyle="1" w:styleId="1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paragraph" w:customStyle="1" w:styleId="20">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21">
    <w:name w:val="Table of contents|1"/>
    <w:basedOn w:val="1"/>
    <w:qFormat/>
    <w:uiPriority w:val="0"/>
    <w:pPr>
      <w:widowControl w:val="0"/>
      <w:shd w:val="clear" w:color="auto" w:fill="auto"/>
      <w:spacing w:line="329"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3955</Words>
  <Characters>4014</Characters>
  <Lines>55</Lines>
  <Paragraphs>15</Paragraphs>
  <TotalTime>5</TotalTime>
  <ScaleCrop>false</ScaleCrop>
  <LinksUpToDate>false</LinksUpToDate>
  <CharactersWithSpaces>4019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2019-11-07T01:08:00Z</dcterms:created>
  <dc:creator>yc</dc:creator>
  <cp:lastModifiedBy>裴龙</cp:lastModifiedBy>
  <dcterms:modified xsi:type="dcterms:W3CDTF">2023-03-07T00:49:48Z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355E833AD06F45399193C6FEDF37D0FD</vt:lpwstr>
  </property>
</Properties>
</file>