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2"/>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0"/>
        <w:spacing w:line="360" w:lineRule="auto"/>
        <w:rPr>
          <w:rFonts w:eastAsia="方正小标宋简体"/>
          <w:sz w:val="32"/>
        </w:rPr>
      </w:pPr>
    </w:p>
    <w:p>
      <w:pPr>
        <w:pStyle w:val="10"/>
        <w:spacing w:line="360" w:lineRule="auto"/>
        <w:ind w:firstLine="422" w:firstLineChars="132"/>
        <w:rPr>
          <w:rFonts w:eastAsia="方正小标宋简体"/>
          <w:sz w:val="32"/>
        </w:rPr>
      </w:pPr>
    </w:p>
    <w:p>
      <w:pPr>
        <w:pStyle w:val="10"/>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yellow"/>
        </w:rPr>
      </w:pPr>
      <w:r>
        <w:rPr>
          <w:rFonts w:hAnsi="方正小标宋简体" w:eastAsia="方正小标宋简体"/>
          <w:sz w:val="32"/>
          <w:highlight w:val="yellow"/>
        </w:rPr>
        <w:t>项目名称：</w:t>
      </w:r>
      <w:r>
        <w:rPr>
          <w:rFonts w:hint="eastAsia" w:hAnsi="方正小标宋简体" w:eastAsia="方正小标宋简体"/>
          <w:sz w:val="32"/>
          <w:highlight w:val="yellow"/>
        </w:rPr>
        <w:t>深层肌肉刺激仪</w:t>
      </w:r>
      <w:r>
        <w:rPr>
          <w:rFonts w:hint="eastAsia" w:hAnsi="方正小标宋简体" w:eastAsia="方正小标宋简体"/>
          <w:sz w:val="32"/>
          <w:highlight w:val="yellow"/>
          <w:lang w:eastAsia="zh-CN"/>
        </w:rPr>
        <w:t>等一批设备</w:t>
      </w:r>
      <w:r>
        <w:rPr>
          <w:rFonts w:hint="eastAsia" w:hAnsi="方正小标宋简体" w:eastAsia="方正小标宋简体"/>
          <w:sz w:val="32"/>
          <w:highlight w:val="yellow"/>
        </w:rPr>
        <w:t>项目</w:t>
      </w:r>
    </w:p>
    <w:p>
      <w:pPr>
        <w:pStyle w:val="22"/>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2"/>
      </w:pPr>
    </w:p>
    <w:p>
      <w:pPr>
        <w:pStyle w:val="22"/>
        <w:ind w:left="0" w:firstLine="0" w:firstLineChars="0"/>
        <w:rPr>
          <w:rFonts w:eastAsia="宋体"/>
          <w:sz w:val="30"/>
          <w:szCs w:val="30"/>
        </w:rPr>
      </w:pPr>
    </w:p>
    <w:p>
      <w:pPr>
        <w:rPr>
          <w:rFonts w:eastAsia="方正小标宋简体"/>
          <w:sz w:val="30"/>
          <w:szCs w:val="30"/>
        </w:rPr>
      </w:pPr>
    </w:p>
    <w:p>
      <w:pPr>
        <w:pStyle w:val="22"/>
      </w:pPr>
    </w:p>
    <w:p>
      <w:pPr>
        <w:pStyle w:val="22"/>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highlight w:val="yellow"/>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3</w:t>
      </w:r>
      <w:r>
        <w:rPr>
          <w:rFonts w:eastAsia="方正小标宋简体"/>
          <w:sz w:val="30"/>
          <w:szCs w:val="30"/>
          <w:highlight w:val="yellow"/>
        </w:rPr>
        <w:t xml:space="preserve"> </w:t>
      </w:r>
      <w:r>
        <w:rPr>
          <w:rFonts w:hAnsi="方正小标宋简体" w:eastAsia="方正小标宋简体"/>
          <w:sz w:val="30"/>
          <w:szCs w:val="30"/>
          <w:highlight w:val="yellow"/>
        </w:rPr>
        <w:t>年</w:t>
      </w:r>
      <w:r>
        <w:rPr>
          <w:rFonts w:hint="eastAsia" w:eastAsia="方正小标宋简体"/>
          <w:sz w:val="30"/>
          <w:szCs w:val="30"/>
          <w:highlight w:val="yellow"/>
          <w:lang w:val="en-US" w:eastAsia="zh-CN"/>
        </w:rPr>
        <w:t>3</w:t>
      </w:r>
      <w:r>
        <w:rPr>
          <w:rFonts w:hAnsi="方正小标宋简体" w:eastAsia="方正小标宋简体"/>
          <w:sz w:val="30"/>
          <w:szCs w:val="30"/>
          <w:highlight w:val="yellow"/>
        </w:rPr>
        <w:t>月</w:t>
      </w:r>
      <w:r>
        <w:rPr>
          <w:rFonts w:hint="eastAsia" w:hAnsi="方正小标宋简体" w:eastAsia="方正小标宋简体"/>
          <w:sz w:val="30"/>
          <w:szCs w:val="30"/>
          <w:highlight w:val="yellow"/>
          <w:lang w:val="en-US" w:eastAsia="zh-CN"/>
        </w:rPr>
        <w:t>13</w:t>
      </w:r>
      <w:r>
        <w:rPr>
          <w:rFonts w:hAnsi="方正小标宋简体" w:eastAsia="方正小标宋简体"/>
          <w:sz w:val="30"/>
          <w:szCs w:val="30"/>
          <w:highlight w:val="yellow"/>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0"/>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8"/>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19"/>
            <w:spacing w:line="360" w:lineRule="auto"/>
            <w:ind w:left="0" w:leftChars="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13</w:t>
          </w:r>
        </w:p>
        <w:p>
          <w:pPr>
            <w:pStyle w:val="18"/>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7</w:t>
          </w:r>
        </w:p>
        <w:p>
          <w:pPr>
            <w:spacing w:line="360" w:lineRule="auto"/>
            <w:ind w:right="-517" w:rightChars="-246"/>
            <w:jc w:val="left"/>
            <w:rPr>
              <w:rFonts w:eastAsia="宋体"/>
              <w:sz w:val="32"/>
              <w:szCs w:val="32"/>
              <w:lang w:val="zh-CN"/>
            </w:rPr>
          </w:pPr>
          <w:r>
            <w:rPr>
              <w:rFonts w:hAnsi="宋体" w:eastAsia="宋体"/>
              <w:sz w:val="32"/>
              <w:szCs w:val="32"/>
            </w:rPr>
            <w:t>（九）有效业绩</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9</w:t>
          </w:r>
        </w:p>
        <w:p>
          <w:pPr>
            <w:pStyle w:val="10"/>
            <w:spacing w:line="360" w:lineRule="auto"/>
            <w:rPr>
              <w:rFonts w:hAnsi="宋体"/>
              <w:sz w:val="32"/>
              <w:szCs w:val="32"/>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rPr>
            <w:t>20</w:t>
          </w:r>
        </w:p>
        <w:p>
          <w:pPr>
            <w:spacing w:line="360" w:lineRule="auto"/>
            <w:rPr>
              <w:rFonts w:hint="eastAsia" w:hAnsi="宋体" w:eastAsia="宋体"/>
              <w:sz w:val="32"/>
              <w:szCs w:val="32"/>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rPr>
            <w:t>22</w:t>
          </w:r>
        </w:p>
        <w:p>
          <w:pPr>
            <w:pStyle w:val="10"/>
            <w:spacing w:line="360" w:lineRule="auto"/>
            <w:rPr>
              <w:rFonts w:hint="eastAsia"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3</w:t>
          </w:r>
        </w:p>
        <w:p>
          <w:pPr>
            <w:spacing w:line="360" w:lineRule="auto"/>
            <w:rPr>
              <w:lang w:val="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）合同文本</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4</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2"/>
        <w:adjustRightInd w:val="0"/>
        <w:snapToGrid w:val="0"/>
        <w:spacing w:line="520" w:lineRule="atLeast"/>
        <w:ind w:left="0" w:leftChars="0" w:firstLine="0" w:firstLineChars="0"/>
      </w:pPr>
    </w:p>
    <w:p>
      <w:pPr>
        <w:widowControl/>
        <w:adjustRightInd w:val="0"/>
        <w:snapToGrid w:val="0"/>
        <w:spacing w:line="520" w:lineRule="atLeast"/>
        <w:ind w:firstLine="480" w:firstLineChars="200"/>
        <w:rPr>
          <w:rFonts w:eastAsia="宋体"/>
          <w:color w:val="000000"/>
          <w:kern w:val="0"/>
          <w:sz w:val="24"/>
          <w:szCs w:val="22"/>
        </w:rPr>
      </w:pPr>
      <w:bookmarkStart w:id="29" w:name="_GoBack"/>
      <w:r>
        <w:rPr>
          <w:rFonts w:hAnsi="宋体" w:eastAsia="宋体"/>
          <w:color w:val="000000"/>
          <w:kern w:val="0"/>
          <w:sz w:val="24"/>
          <w:szCs w:val="22"/>
        </w:rPr>
        <w:t>中山大学附属第八医院（深圳福田）</w:t>
      </w:r>
      <w:r>
        <w:rPr>
          <w:rFonts w:hint="eastAsia" w:hAnsi="宋体" w:eastAsia="宋体"/>
          <w:color w:val="000000"/>
          <w:kern w:val="0"/>
          <w:sz w:val="24"/>
          <w:szCs w:val="22"/>
          <w:highlight w:val="yellow"/>
        </w:rPr>
        <w:t>深层肌肉刺激仪</w:t>
      </w:r>
      <w:r>
        <w:rPr>
          <w:rFonts w:hint="eastAsia" w:hAnsi="宋体" w:eastAsia="宋体"/>
          <w:color w:val="000000"/>
          <w:kern w:val="0"/>
          <w:sz w:val="24"/>
          <w:lang w:eastAsia="zh-CN"/>
        </w:rPr>
        <w:t>等一批设备</w:t>
      </w:r>
      <w:r>
        <w:rPr>
          <w:rFonts w:hint="eastAsia" w:hAnsi="宋体" w:eastAsia="宋体"/>
          <w:color w:val="000000"/>
          <w:kern w:val="0"/>
          <w:sz w:val="24"/>
        </w:rPr>
        <w:t>项目拟议价采购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7"/>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b w:val="0"/>
          <w:bCs w:val="0"/>
          <w:color w:val="000000"/>
          <w:kern w:val="0"/>
          <w:sz w:val="24"/>
          <w:highlight w:val="yellow"/>
        </w:rPr>
        <w:t>深层肌肉刺激仪</w:t>
      </w:r>
      <w:r>
        <w:rPr>
          <w:rFonts w:hint="eastAsia" w:ascii="Times New Roman" w:hAnsi="宋体" w:eastAsia="宋体"/>
          <w:color w:val="000000"/>
          <w:kern w:val="0"/>
          <w:sz w:val="24"/>
          <w:lang w:eastAsia="zh-CN"/>
        </w:rPr>
        <w:t>等一批设备</w:t>
      </w:r>
      <w:r>
        <w:rPr>
          <w:rFonts w:hint="eastAsia" w:ascii="Times New Roman" w:hAnsi="宋体" w:eastAsia="宋体"/>
          <w:color w:val="000000"/>
          <w:kern w:val="0"/>
          <w:sz w:val="24"/>
        </w:rPr>
        <w:t>项目</w:t>
      </w:r>
    </w:p>
    <w:p>
      <w:pPr>
        <w:pStyle w:val="37"/>
        <w:widowControl/>
        <w:adjustRightInd w:val="0"/>
        <w:snapToGrid w:val="0"/>
        <w:spacing w:line="360" w:lineRule="auto"/>
        <w:ind w:left="0" w:leftChars="0" w:firstLine="482" w:firstLine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37"/>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37"/>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yellow"/>
        </w:rPr>
      </w:pPr>
      <w:r>
        <w:rPr>
          <w:rFonts w:hint="eastAsia" w:ascii="Times New Roman" w:hAnsi="宋体" w:eastAsia="宋体"/>
          <w:b/>
          <w:bCs/>
          <w:color w:val="000000"/>
          <w:kern w:val="0"/>
          <w:sz w:val="24"/>
          <w:highlight w:val="yellow"/>
          <w:lang w:val="en-US" w:eastAsia="zh-CN"/>
        </w:rPr>
        <w:t>4.</w:t>
      </w:r>
      <w:r>
        <w:rPr>
          <w:rFonts w:ascii="Times New Roman" w:hAnsi="宋体" w:eastAsia="宋体"/>
          <w:b/>
          <w:bCs/>
          <w:color w:val="000000"/>
          <w:kern w:val="0"/>
          <w:sz w:val="24"/>
          <w:highlight w:val="yellow"/>
        </w:rPr>
        <w:t>采购</w:t>
      </w:r>
      <w:r>
        <w:rPr>
          <w:rFonts w:hint="eastAsia" w:ascii="Times New Roman" w:hAnsi="宋体" w:eastAsia="宋体"/>
          <w:b/>
          <w:bCs/>
          <w:color w:val="000000"/>
          <w:kern w:val="0"/>
          <w:sz w:val="24"/>
          <w:highlight w:val="yellow"/>
        </w:rPr>
        <w:t>清单</w:t>
      </w:r>
      <w:r>
        <w:rPr>
          <w:rFonts w:ascii="Times New Roman" w:hAnsi="宋体" w:eastAsia="宋体"/>
          <w:b/>
          <w:bCs/>
          <w:color w:val="000000"/>
          <w:kern w:val="0"/>
          <w:sz w:val="24"/>
          <w:highlight w:val="yellow"/>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35"/>
        <w:gridCol w:w="1664"/>
        <w:gridCol w:w="900"/>
        <w:gridCol w:w="1192"/>
        <w:gridCol w:w="457"/>
        <w:gridCol w:w="767"/>
        <w:gridCol w:w="810"/>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6"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692"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863" w:type="pct"/>
            <w:vAlign w:val="center"/>
          </w:tcPr>
          <w:p>
            <w:pPr>
              <w:spacing w:line="360" w:lineRule="auto"/>
              <w:jc w:val="center"/>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67" w:type="pct"/>
            <w:vAlign w:val="center"/>
          </w:tcPr>
          <w:p>
            <w:pPr>
              <w:spacing w:line="360" w:lineRule="auto"/>
              <w:jc w:val="center"/>
              <w:rPr>
                <w:rFonts w:ascii="宋体" w:hAnsi="宋体"/>
                <w:b/>
                <w:sz w:val="24"/>
                <w:szCs w:val="21"/>
              </w:rPr>
            </w:pPr>
            <w:r>
              <w:rPr>
                <w:rFonts w:hint="eastAsia" w:ascii="宋体" w:hAnsi="宋体"/>
                <w:b/>
                <w:sz w:val="24"/>
                <w:szCs w:val="21"/>
              </w:rPr>
              <w:t>进口/国产</w:t>
            </w:r>
          </w:p>
        </w:tc>
        <w:tc>
          <w:tcPr>
            <w:tcW w:w="618"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237"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398"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20"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532"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532"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6"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1</w:t>
            </w:r>
          </w:p>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69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 xml:space="preserve">ZCB-2023-YS-013 </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深层肌肉刺激仪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3</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4</w:t>
            </w:r>
          </w:p>
        </w:tc>
        <w:tc>
          <w:tcPr>
            <w:tcW w:w="420"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12</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2</w:t>
            </w:r>
          </w:p>
        </w:tc>
        <w:tc>
          <w:tcPr>
            <w:tcW w:w="69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eastAsia="zh-CN"/>
              </w:rPr>
            </w:pPr>
            <w:r>
              <w:rPr>
                <w:rFonts w:hint="eastAsia" w:cs="Times New Roman" w:asciiTheme="majorEastAsia" w:hAnsiTheme="majorEastAsia" w:eastAsiaTheme="majorEastAsia"/>
                <w:b w:val="0"/>
                <w:bCs w:val="0"/>
                <w:sz w:val="24"/>
                <w:szCs w:val="21"/>
                <w:highlight w:val="none"/>
                <w:lang w:eastAsia="zh-CN"/>
              </w:rPr>
              <w:t>ZCB-2023-YS-01</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 xml:space="preserve"> </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全自动前处理系统</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0.</w:t>
            </w:r>
            <w:r>
              <w:rPr>
                <w:rFonts w:hint="eastAsia" w:asciiTheme="majorEastAsia" w:hAnsiTheme="majorEastAsia" w:eastAsiaTheme="majorEastAsia"/>
                <w:sz w:val="24"/>
                <w:szCs w:val="21"/>
              </w:rPr>
              <w:t>15</w:t>
            </w:r>
          </w:p>
        </w:tc>
        <w:tc>
          <w:tcPr>
            <w:tcW w:w="42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0.</w:t>
            </w:r>
            <w:r>
              <w:rPr>
                <w:rFonts w:hint="eastAsia" w:asciiTheme="majorEastAsia" w:hAnsiTheme="majorEastAsia" w:eastAsiaTheme="majorEastAsia"/>
                <w:sz w:val="24"/>
                <w:szCs w:val="21"/>
              </w:rPr>
              <w:t>15</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69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eastAsia="zh-CN"/>
              </w:rPr>
              <w:t>ZCB-2023-YS-01</w:t>
            </w:r>
            <w:r>
              <w:rPr>
                <w:rFonts w:hint="eastAsia" w:cs="Times New Roman" w:asciiTheme="majorEastAsia" w:hAnsiTheme="majorEastAsia" w:eastAsiaTheme="majorEastAsia"/>
                <w:b w:val="0"/>
                <w:bCs w:val="0"/>
                <w:sz w:val="24"/>
                <w:szCs w:val="21"/>
                <w:lang w:val="en-US" w:eastAsia="zh-CN"/>
              </w:rPr>
              <w:t>5</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全自动化学发光过敏原定量检测分析仪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420"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4</w:t>
            </w:r>
          </w:p>
        </w:tc>
        <w:tc>
          <w:tcPr>
            <w:tcW w:w="692" w:type="pct"/>
            <w:vAlign w:val="center"/>
          </w:tcPr>
          <w:p>
            <w:pPr>
              <w:spacing w:line="276" w:lineRule="auto"/>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ZCB-2023-YS-017</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荧光免疫定量分析仪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asciiTheme="majorEastAsia" w:hAnsiTheme="majorEastAsia" w:eastAsiaTheme="majorEastAsia"/>
                <w:sz w:val="24"/>
                <w:szCs w:val="21"/>
              </w:rPr>
              <w:t>.15</w:t>
            </w:r>
          </w:p>
        </w:tc>
        <w:tc>
          <w:tcPr>
            <w:tcW w:w="42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asciiTheme="majorEastAsia" w:hAnsiTheme="majorEastAsia" w:eastAsiaTheme="majorEastAsia"/>
                <w:sz w:val="24"/>
                <w:szCs w:val="21"/>
              </w:rPr>
              <w:t>.15</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lang w:val="en-US" w:eastAsia="zh-CN"/>
              </w:rPr>
            </w:pP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13</w:t>
      </w:r>
      <w:r>
        <w:rPr>
          <w:rFonts w:hint="eastAsia" w:ascii="Times New Roman" w:hAnsi="宋体" w:eastAsia="宋体" w:cs="Times New Roman"/>
          <w:b/>
          <w:bCs/>
          <w:color w:val="000000"/>
          <w:kern w:val="0"/>
          <w:sz w:val="24"/>
          <w:szCs w:val="22"/>
          <w:highlight w:val="yellow"/>
          <w:lang w:val="en-US" w:eastAsia="zh-CN" w:bidi="ar-SA"/>
        </w:rPr>
        <w:t>日发布公告至</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16</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7"/>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val="en-US" w:eastAsia="zh-CN"/>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共4项，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5"/>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p>
      <w:pPr>
        <w:numPr>
          <w:ilvl w:val="0"/>
          <w:numId w:val="0"/>
        </w:numPr>
        <w:spacing w:line="360" w:lineRule="auto"/>
        <w:rPr>
          <w:rFonts w:hint="eastAsia"/>
          <w:lang w:val="en-US" w:eastAsia="zh-CN"/>
        </w:rPr>
      </w:pPr>
      <w:r>
        <w:rPr>
          <w:rFonts w:hint="eastAsia" w:hAnsi="宋体" w:eastAsia="宋体"/>
          <w:color w:val="000000"/>
          <w:kern w:val="0"/>
          <w:sz w:val="24"/>
          <w:lang w:eastAsia="zh-CN"/>
        </w:rPr>
        <w:t>（</w:t>
      </w:r>
      <w:r>
        <w:rPr>
          <w:rFonts w:hint="eastAsia" w:hAnsi="宋体" w:eastAsia="宋体"/>
          <w:color w:val="000000"/>
          <w:kern w:val="0"/>
          <w:sz w:val="24"/>
          <w:lang w:val="en-US" w:eastAsia="zh-CN"/>
        </w:rPr>
        <w:t>1</w:t>
      </w:r>
      <w:r>
        <w:rPr>
          <w:rFonts w:hint="eastAsia" w:hAnsi="宋体" w:eastAsia="宋体"/>
          <w:color w:val="000000"/>
          <w:kern w:val="0"/>
          <w:sz w:val="24"/>
          <w:lang w:eastAsia="zh-CN"/>
        </w:rPr>
        <w:t>）</w:t>
      </w:r>
      <w:r>
        <w:rPr>
          <w:rFonts w:hint="eastAsia" w:cs="Times New Roman" w:asciiTheme="majorEastAsia" w:hAnsiTheme="majorEastAsia" w:eastAsiaTheme="majorEastAsia"/>
          <w:b w:val="0"/>
          <w:bCs w:val="0"/>
          <w:kern w:val="2"/>
          <w:sz w:val="24"/>
          <w:szCs w:val="21"/>
          <w:highlight w:val="yellow"/>
          <w:lang w:val="en-US" w:eastAsia="zh-CN" w:bidi="ar-SA"/>
        </w:rPr>
        <w:t>深层肌肉刺激仪</w:t>
      </w:r>
      <w:r>
        <w:rPr>
          <w:rFonts w:hint="eastAsia" w:hAnsi="宋体" w:eastAsia="宋体"/>
          <w:color w:val="000000"/>
          <w:kern w:val="0"/>
          <w:sz w:val="24"/>
          <w:lang w:eastAsia="zh-CN"/>
        </w:rPr>
        <w:t>项目填下表：</w:t>
      </w:r>
    </w:p>
    <w:tbl>
      <w:tblPr>
        <w:tblStyle w:val="23"/>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7"/>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37"/>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0"/>
              <w:spacing w:line="360" w:lineRule="auto"/>
              <w:jc w:val="both"/>
              <w:rPr>
                <w:rFonts w:hint="eastAsia"/>
              </w:rPr>
            </w:pPr>
            <w:r>
              <w:rPr>
                <w:rFonts w:hint="eastAsia"/>
              </w:rPr>
              <w:t>联系电话：</w:t>
            </w:r>
          </w:p>
          <w:p>
            <w:pPr>
              <w:spacing w:line="360" w:lineRule="auto"/>
              <w:jc w:val="both"/>
            </w:pPr>
            <w:r>
              <w:rPr>
                <w:rFonts w:hint="eastAsia"/>
              </w:rPr>
              <w:t>中标通知书预留邮箱：</w:t>
            </w:r>
          </w:p>
        </w:tc>
      </w:tr>
    </w:tbl>
    <w:p>
      <w:pPr>
        <w:rPr>
          <w:rFonts w:hint="eastAsia"/>
          <w:lang w:val="en-US" w:eastAsia="zh-CN"/>
        </w:rPr>
      </w:pPr>
    </w:p>
    <w:p>
      <w:pPr>
        <w:pStyle w:val="1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lang w:val="en-US" w:eastAsia="zh-CN"/>
        </w:rPr>
        <w:t>2</w:t>
      </w: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highlight w:val="yellow"/>
          <w:lang w:val="en-US" w:eastAsia="zh-CN"/>
        </w:rPr>
        <w:t>全自动前处理系统</w:t>
      </w:r>
      <w:r>
        <w:rPr>
          <w:rFonts w:hint="eastAsia" w:asciiTheme="minorEastAsia" w:hAnsiTheme="minorEastAsia" w:eastAsiaTheme="minorEastAsia" w:cstheme="minorEastAsia"/>
          <w:b/>
          <w:bCs/>
          <w:sz w:val="24"/>
          <w:szCs w:val="21"/>
          <w:highlight w:val="yellow"/>
          <w:lang w:eastAsia="zh-CN"/>
        </w:rPr>
        <w:t>项目</w:t>
      </w:r>
      <w:r>
        <w:rPr>
          <w:rFonts w:hint="eastAsia" w:asciiTheme="minorEastAsia" w:hAnsiTheme="minorEastAsia" w:eastAsiaTheme="minorEastAsia" w:cstheme="minorEastAsia"/>
          <w:b/>
          <w:bCs/>
          <w:sz w:val="24"/>
          <w:szCs w:val="21"/>
          <w:lang w:eastAsia="zh-CN"/>
        </w:rPr>
        <w:t>填下表：</w:t>
      </w:r>
    </w:p>
    <w:tbl>
      <w:tblPr>
        <w:tblStyle w:val="23"/>
        <w:tblpPr w:leftFromText="180" w:rightFromText="180" w:vertAnchor="text" w:horzAnchor="page" w:tblpX="1255"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245"/>
        <w:gridCol w:w="466"/>
        <w:gridCol w:w="457"/>
        <w:gridCol w:w="542"/>
        <w:gridCol w:w="934"/>
        <w:gridCol w:w="965"/>
        <w:gridCol w:w="967"/>
        <w:gridCol w:w="1227"/>
        <w:gridCol w:w="88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lang w:val="en-US" w:eastAsia="zh-CN" w:bidi="ar-SA"/>
              </w:rPr>
              <w:t>全自动前处理系统</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3"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64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4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3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8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84"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500"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50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63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5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28"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全自动前处理系统</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646" w:type="pct"/>
            <w:vAlign w:val="center"/>
          </w:tcPr>
          <w:p>
            <w:pPr>
              <w:widowControl/>
              <w:spacing w:line="360" w:lineRule="auto"/>
              <w:jc w:val="both"/>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一次性吸头</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483"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1"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（三）</w:t>
            </w:r>
          </w:p>
        </w:tc>
        <w:tc>
          <w:tcPr>
            <w:tcW w:w="124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洗涤缓冲液</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1" w:type="dxa"/>
            <w:vAlign w:val="center"/>
          </w:tcPr>
          <w:p>
            <w:pPr>
              <w:widowControl/>
              <w:spacing w:line="360" w:lineRule="auto"/>
              <w:jc w:val="center"/>
              <w:rPr>
                <w:rFonts w:hint="eastAsia" w:asciiTheme="minorEastAsia" w:hAnsiTheme="minorEastAsia" w:cstheme="minorEastAsia"/>
                <w:kern w:val="0"/>
                <w:sz w:val="21"/>
                <w:szCs w:val="21"/>
                <w:lang w:val="en-US" w:eastAsia="zh-CN"/>
              </w:rPr>
            </w:pPr>
          </w:p>
        </w:tc>
        <w:tc>
          <w:tcPr>
            <w:tcW w:w="1245" w:type="dxa"/>
            <w:vAlign w:val="center"/>
          </w:tcPr>
          <w:p>
            <w:pPr>
              <w:widowControl/>
              <w:spacing w:line="360" w:lineRule="auto"/>
              <w:jc w:val="center"/>
              <w:rPr>
                <w:rFonts w:hint="eastAsia" w:cs="Times New Roman" w:asciiTheme="majorEastAsia" w:hAnsiTheme="majorEastAsia" w:eastAsiaTheme="majorEastAsia"/>
                <w:b w:val="0"/>
                <w:bCs w:val="0"/>
                <w:kern w:val="2"/>
                <w:sz w:val="24"/>
                <w:szCs w:val="21"/>
                <w:lang w:val="en-US" w:eastAsia="zh-CN" w:bidi="ar-SA"/>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pStyle w:val="10"/>
        <w:numPr>
          <w:ilvl w:val="0"/>
          <w:numId w:val="6"/>
        </w:numPr>
        <w:rPr>
          <w:rFonts w:hint="eastAsia"/>
          <w:lang w:eastAsia="zh-CN"/>
        </w:rPr>
      </w:pPr>
      <w:r>
        <w:rPr>
          <w:rFonts w:hint="eastAsia" w:asciiTheme="minorEastAsia" w:hAnsiTheme="minorEastAsia" w:eastAsiaTheme="minorEastAsia" w:cstheme="minorEastAsia"/>
          <w:b/>
          <w:bCs/>
          <w:sz w:val="24"/>
          <w:szCs w:val="21"/>
          <w:highlight w:val="yellow"/>
          <w:lang w:val="en-US" w:eastAsia="zh-CN"/>
        </w:rPr>
        <w:t>全自动化学发光过敏原定量检测分析仪</w:t>
      </w:r>
      <w:r>
        <w:rPr>
          <w:rFonts w:hint="eastAsia" w:asciiTheme="minorEastAsia" w:hAnsiTheme="minorEastAsia" w:eastAsiaTheme="minorEastAsia" w:cstheme="minorEastAsia"/>
          <w:b/>
          <w:bCs/>
          <w:sz w:val="24"/>
          <w:szCs w:val="21"/>
          <w:lang w:eastAsia="zh-CN"/>
        </w:rPr>
        <w:t>项目填下表：</w:t>
      </w:r>
    </w:p>
    <w:tbl>
      <w:tblPr>
        <w:tblStyle w:val="23"/>
        <w:tblpPr w:leftFromText="180" w:rightFromText="180" w:vertAnchor="text" w:horzAnchor="page" w:tblpX="673" w:tblpY="75"/>
        <w:tblOverlap w:val="never"/>
        <w:tblW w:w="53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953"/>
        <w:gridCol w:w="461"/>
        <w:gridCol w:w="455"/>
        <w:gridCol w:w="536"/>
        <w:gridCol w:w="934"/>
        <w:gridCol w:w="965"/>
        <w:gridCol w:w="967"/>
        <w:gridCol w:w="1227"/>
        <w:gridCol w:w="88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lang w:val="en-US" w:eastAsia="zh-CN" w:bidi="ar-SA"/>
              </w:rPr>
              <w:t>全自动化学发光过敏原定量检测分析仪</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954"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25"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2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6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5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47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472"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59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33"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1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全自动化学发光过敏原定量检测分析仪</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9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both"/>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both"/>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954" w:type="pct"/>
            <w:vAlign w:val="center"/>
          </w:tcPr>
          <w:p>
            <w:pPr>
              <w:widowControl/>
              <w:spacing w:line="360" w:lineRule="auto"/>
              <w:jc w:val="both"/>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专机试剂</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蛋白F001过敏原特异性IgE抗体检测试剂盒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牛奶F002过敏原特异性IgE抗体检测试剂盒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鱼（鳕鱼）F003过敏原特异性IgE抗体检测试剂盒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小麦F004过敏原特异性IgE抗体检测试剂盒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芝麻F010过敏原特异性IgE抗体检测试剂盒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花生F013过敏原特异性IgE抗体检测试剂盒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7</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大豆F014过敏原特异性IgE抗体检测试剂盒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8</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巴西坚果F018过敏原特异性IgE抗体检测试剂盒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杏仁F020过敏原特异性IgE抗体检测试剂盒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蟹F023过敏原特异性IgE抗体检测试剂盒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虾F024过敏原特异性IgE抗体检测试剂盒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榛子F017过敏原特异性IgE抗体检测试剂盒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13</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牛肉F027过敏原特异性IgE抗体检测试剂盒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14</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椰子F036过敏原特异性IgE抗体检测试剂盒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15</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户尘螨D001过敏原特异性IgE抗体检测试剂盒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16</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粉尘螨D002过敏原特异性IgE抗体检测试剂盒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17</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热带螨D201过敏原特异性IgE抗体检测试剂盒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屋尘H001过敏原特异性IgE抗体检测试剂盒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19</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德国小蠊I006过敏原特异性IgE抗体检测试剂盒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20</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猫皮屑E001过敏原特异性IgE抗体检测试剂盒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21</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马皮屑E003过敏原特异性IgE抗体检测试剂盒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22</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牛皮屑E004过敏原特异性IgE抗体检测试剂盒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23</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狗皮屑E005过敏原特异性IgE抗体检测试剂盒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24</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梯牧草G006过敏原特异性IgE抗体检测试剂盒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25</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普通白桦树T003过敏原特异性IgE抗体检测试剂盒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26</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艾蒿W006过敏原特异性IgE抗体检测试剂盒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27</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雏菊W007过敏原特异性IgE抗体检测试剂盒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28</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蒲公英W008过敏原特异性IgE抗体检测试剂盒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29</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车前草W009过敏原特异性IgE抗体检测试剂盒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30</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烟曲霉M003过敏原特异性IgE抗体检测试剂盒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31</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链格孢M006过敏原特异性IgE抗体检测试剂盒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32</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枫叶梧桐T011过敏原特异性IgE抗体检测试剂盒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33</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百慕达草G002过敏原特异性IgE抗体检测试剂盒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34</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刺柏T006过敏原特异性IgE抗体检测试剂盒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35</w:t>
            </w:r>
          </w:p>
        </w:tc>
        <w:tc>
          <w:tcPr>
            <w:tcW w:w="954"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普通豚草W001过敏原特异性IgE抗体检测试剂盒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36</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苍耳W013过敏原特异性IgE抗体检测试剂盒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37</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藜(鹅毛草)W010过敏原特异性IgE抗体检测试剂盒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38</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总IgE检测试剂盒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39</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动物毛皮屑混合EX01过敏原特异性IgE抗体检测试剂盒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40</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食物混合FX01过敏原特异性IgE抗体检测试剂盒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41</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食物混合FX05过敏原特异性IgE抗体检测试剂盒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42</w:t>
            </w:r>
          </w:p>
        </w:tc>
        <w:tc>
          <w:tcPr>
            <w:tcW w:w="954" w:type="pct"/>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屋尘混合HX02过敏原特异性IgE抗体检测试剂盒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43</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过敏原SX01过敏原特异性IgE抗体检测试剂盒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44</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杂草类花粉混合WX05过敏原特异性IgE抗体检测试剂盒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45</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杂草类花粉混合WX07过敏原特异性IgE抗体检测试剂盒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46</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IgE校准品、</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47</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IgE校准品配套检测试剂</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48</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IgE质控品</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49</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过敏原IgE抗体分析配套试剂盒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50</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51</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反应杯清洗液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52</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探针清洗液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53</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光学吸头</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54</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反应杯</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55</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底物混合容器</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56</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样本稀释液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57</w:t>
            </w:r>
          </w:p>
        </w:tc>
        <w:tc>
          <w:tcPr>
            <w:tcW w:w="954" w:type="pct"/>
            <w:vAlign w:val="center"/>
          </w:tcPr>
          <w:p>
            <w:pPr>
              <w:keepNext w:val="0"/>
              <w:keepLines w:val="0"/>
              <w:widowControl/>
              <w:suppressLineNumbers w:val="0"/>
              <w:jc w:val="left"/>
              <w:textAlignment w:val="center"/>
              <w:rPr>
                <w:rFonts w:hint="eastAsia" w:cs="Times New Roman" w:asciiTheme="majorEastAsia" w:hAnsiTheme="majorEastAsia" w:eastAsiaTheme="majorEastAsia"/>
                <w:b w:val="0"/>
                <w:bCs w:val="0"/>
                <w:kern w:val="2"/>
                <w:sz w:val="24"/>
                <w:szCs w:val="21"/>
                <w:lang w:val="en-US" w:eastAsia="zh-CN" w:bidi="ar-SA"/>
              </w:rPr>
            </w:pPr>
            <w:r>
              <w:rPr>
                <w:rFonts w:hint="eastAsia" w:ascii="宋体" w:hAnsi="宋体" w:eastAsia="宋体" w:cs="宋体"/>
                <w:i w:val="0"/>
                <w:iCs w:val="0"/>
                <w:color w:val="000000"/>
                <w:kern w:val="0"/>
                <w:sz w:val="22"/>
                <w:szCs w:val="22"/>
                <w:u w:val="none"/>
                <w:lang w:val="en-US" w:eastAsia="zh-CN" w:bidi="ar"/>
              </w:rPr>
              <w:t>稀释杯</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pStyle w:val="1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lang w:val="en-US" w:eastAsia="zh-CN"/>
        </w:rPr>
        <w:t>4</w:t>
      </w: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highlight w:val="yellow"/>
          <w:lang w:val="en-US" w:eastAsia="zh-CN"/>
        </w:rPr>
        <w:t>荧光免疫定量分析仪</w:t>
      </w:r>
      <w:r>
        <w:rPr>
          <w:rFonts w:hint="eastAsia" w:asciiTheme="minorEastAsia" w:hAnsiTheme="minorEastAsia" w:eastAsiaTheme="minorEastAsia" w:cstheme="minorEastAsia"/>
          <w:b/>
          <w:bCs/>
          <w:sz w:val="24"/>
          <w:szCs w:val="21"/>
          <w:highlight w:val="yellow"/>
          <w:lang w:eastAsia="zh-CN"/>
        </w:rPr>
        <w:t>项目</w:t>
      </w:r>
      <w:r>
        <w:rPr>
          <w:rFonts w:hint="eastAsia" w:asciiTheme="minorEastAsia" w:hAnsiTheme="minorEastAsia" w:eastAsiaTheme="minorEastAsia" w:cstheme="minorEastAsia"/>
          <w:b/>
          <w:bCs/>
          <w:sz w:val="24"/>
          <w:szCs w:val="21"/>
          <w:lang w:eastAsia="zh-CN"/>
        </w:rPr>
        <w:t>填下表：</w:t>
      </w:r>
    </w:p>
    <w:tbl>
      <w:tblPr>
        <w:tblStyle w:val="23"/>
        <w:tblpPr w:leftFromText="180" w:rightFromText="180" w:vertAnchor="text" w:horzAnchor="page" w:tblpX="1255"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243"/>
        <w:gridCol w:w="464"/>
        <w:gridCol w:w="457"/>
        <w:gridCol w:w="540"/>
        <w:gridCol w:w="934"/>
        <w:gridCol w:w="965"/>
        <w:gridCol w:w="967"/>
        <w:gridCol w:w="1227"/>
        <w:gridCol w:w="88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sz w:val="24"/>
                <w:szCs w:val="21"/>
                <w:highlight w:val="yellow"/>
                <w:lang w:val="en-US" w:eastAsia="zh-CN"/>
              </w:rPr>
              <w:t>荧光免疫定量分析仪</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645"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4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3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80"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84"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500"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50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63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5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3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荧光免疫定量分析仪</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645" w:type="pct"/>
            <w:vAlign w:val="center"/>
          </w:tcPr>
          <w:p>
            <w:pPr>
              <w:widowControl/>
              <w:spacing w:line="360" w:lineRule="auto"/>
              <w:jc w:val="both"/>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心脏标志物检测以及验证标志物检测</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cstheme="minorEastAsia"/>
                <w:kern w:val="0"/>
                <w:sz w:val="21"/>
                <w:szCs w:val="21"/>
                <w:lang w:val="en-US" w:eastAsia="zh-CN"/>
              </w:rPr>
            </w:pPr>
          </w:p>
        </w:tc>
        <w:tc>
          <w:tcPr>
            <w:tcW w:w="645" w:type="pct"/>
            <w:vAlign w:val="center"/>
          </w:tcPr>
          <w:p>
            <w:pPr>
              <w:widowControl/>
              <w:spacing w:line="360" w:lineRule="auto"/>
              <w:jc w:val="center"/>
              <w:rPr>
                <w:rFonts w:hint="eastAsia" w:cs="Times New Roman" w:asciiTheme="majorEastAsia" w:hAnsiTheme="majorEastAsia" w:eastAsiaTheme="majorEastAsia"/>
                <w:b w:val="0"/>
                <w:bCs w:val="0"/>
                <w:kern w:val="2"/>
                <w:sz w:val="24"/>
                <w:szCs w:val="21"/>
                <w:lang w:val="en-US" w:eastAsia="zh-CN" w:bidi="ar-SA"/>
              </w:rPr>
            </w:pP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keepNext w:val="0"/>
        <w:keepLines w:val="0"/>
        <w:pageBreakBefore w:val="0"/>
        <w:widowControl/>
        <w:numPr>
          <w:ilvl w:val="0"/>
          <w:numId w:val="4"/>
        </w:numPr>
        <w:tabs>
          <w:tab w:val="clear" w:pos="312"/>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hAnsi="宋体" w:eastAsia="宋体"/>
          <w:b/>
          <w:bCs/>
          <w:color w:val="000000"/>
          <w:kern w:val="0"/>
          <w:sz w:val="24"/>
          <w:highlight w:val="yellow"/>
          <w:lang w:val="en-US" w:eastAsia="zh-CN"/>
        </w:rPr>
      </w:pP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2023年3月20日下午14:30分</w:t>
      </w:r>
    </w:p>
    <w:p>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both"/>
        <w:textAlignment w:val="auto"/>
        <w:rPr>
          <w:rFonts w:eastAsia="宋体"/>
          <w:b/>
          <w:bCs/>
          <w:color w:val="000000"/>
          <w:kern w:val="0"/>
          <w:sz w:val="24"/>
        </w:rPr>
      </w:pPr>
      <w:r>
        <w:rPr>
          <w:rFonts w:hint="eastAsia" w:hAnsi="宋体" w:eastAsia="宋体"/>
          <w:b/>
          <w:bCs/>
          <w:color w:val="000000"/>
          <w:kern w:val="0"/>
          <w:sz w:val="24"/>
          <w:lang w:val="en-US" w:eastAsia="zh-CN"/>
        </w:rPr>
        <w:t xml:space="preserve"> </w:t>
      </w:r>
      <w:r>
        <w:rPr>
          <w:rFonts w:hAnsi="宋体" w:eastAsia="宋体"/>
          <w:b/>
          <w:bCs/>
          <w:color w:val="000000"/>
          <w:kern w:val="0"/>
          <w:sz w:val="24"/>
        </w:rPr>
        <w:t>采购地点：</w:t>
      </w:r>
      <w:r>
        <w:rPr>
          <w:rFonts w:hint="eastAsia" w:hAnsi="宋体" w:eastAsia="宋体"/>
          <w:b/>
          <w:bCs/>
          <w:color w:val="000000"/>
          <w:kern w:val="0"/>
          <w:sz w:val="24"/>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37"/>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lang w:val="en-US" w:eastAsia="zh-CN"/>
        </w:rPr>
        <w:t>熊</w:t>
      </w:r>
      <w:r>
        <w:rPr>
          <w:rFonts w:ascii="Times New Roman" w:hAnsi="宋体" w:eastAsia="宋体"/>
          <w:color w:val="000000"/>
          <w:kern w:val="0"/>
          <w:sz w:val="24"/>
        </w:rPr>
        <w:t>老师</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2023年3月13日</w:t>
      </w:r>
    </w:p>
    <w:bookmarkEnd w:id="29"/>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2"/>
        <w:adjustRightInd w:val="0"/>
        <w:snapToGrid w:val="0"/>
        <w:spacing w:line="520" w:lineRule="atLeast"/>
        <w:ind w:left="420" w:leftChars="200" w:firstLine="0" w:firstLineChars="0"/>
      </w:pPr>
    </w:p>
    <w:p>
      <w:pPr>
        <w:pStyle w:val="37"/>
        <w:widowControl/>
        <w:numPr>
          <w:ilvl w:val="0"/>
          <w:numId w:val="8"/>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9"/>
        </w:numPr>
        <w:adjustRightInd w:val="0"/>
        <w:snapToGrid w:val="0"/>
        <w:spacing w:line="440" w:lineRule="atLeast"/>
        <w:ind w:left="20" w:leftChars="0" w:firstLine="400" w:firstLineChars="0"/>
        <w:rPr>
          <w:rFonts w:hint="eastAsia"/>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w:t>
      </w:r>
      <w:r>
        <w:rPr>
          <w:rFonts w:hint="eastAsia"/>
          <w:color w:val="FF0000"/>
          <w:sz w:val="24"/>
          <w:lang w:val="en-US" w:eastAsia="zh-CN"/>
        </w:rPr>
        <w:t>以国家企业信用信息公示系统</w:t>
      </w:r>
      <w:r>
        <w:rPr>
          <w:rFonts w:hint="eastAsia"/>
          <w:color w:val="FF0000"/>
          <w:sz w:val="24"/>
        </w:rPr>
        <w:t>https://www.gsxt.gov.cn/index.html）查询结果为准）。</w:t>
      </w:r>
    </w:p>
    <w:p>
      <w:pPr>
        <w:numPr>
          <w:ilvl w:val="0"/>
          <w:numId w:val="9"/>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响应文件要求按响应文件格式（见附件）顺序装订，密封完好，并加盖公章，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。在响应文件首页右上角标明正本、副本。需提供响应文件正本盖章扫描件，现场带U盘与响应文件同步上交，文件资料如为复印件需加盖公章。有任何一项遗漏均为废标处理。</w:t>
      </w:r>
      <w:r>
        <w:rPr>
          <w:rFonts w:hint="eastAsia" w:ascii="宋体" w:hAnsi="宋体" w:eastAsia="宋体" w:cs="宋体"/>
          <w:kern w:val="0"/>
          <w:sz w:val="24"/>
        </w:rPr>
        <w:fldChar w:fldCharType="end"/>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szCs w:val="24"/>
          <w:highlight w:val="yellow"/>
        </w:rPr>
        <w:t>本项目</w:t>
      </w:r>
      <w:r>
        <w:rPr>
          <w:rFonts w:hint="eastAsia" w:ascii="宋体" w:hAnsi="宋体" w:eastAsia="宋体" w:cs="宋体"/>
          <w:sz w:val="24"/>
          <w:szCs w:val="24"/>
          <w:highlight w:val="yellow"/>
          <w:lang w:eastAsia="zh-CN"/>
        </w:rPr>
        <w:t>中</w:t>
      </w:r>
      <w:r>
        <w:rPr>
          <w:rFonts w:hint="eastAsia" w:ascii="宋体" w:hAnsi="宋体" w:eastAsia="宋体" w:cs="宋体"/>
          <w:sz w:val="24"/>
          <w:szCs w:val="24"/>
          <w:highlight w:val="yellow"/>
        </w:rPr>
        <w:t>纳入医</w:t>
      </w:r>
      <w:r>
        <w:rPr>
          <w:rFonts w:hint="eastAsia" w:ascii="宋体" w:hAnsi="宋体" w:eastAsia="宋体" w:cs="宋体"/>
          <w:sz w:val="24"/>
          <w:highlight w:val="yellow"/>
        </w:rPr>
        <w:t>疗器械目录</w:t>
      </w:r>
      <w:r>
        <w:rPr>
          <w:rFonts w:hint="eastAsia" w:ascii="宋体" w:hAnsi="宋体" w:eastAsia="宋体" w:cs="宋体"/>
          <w:sz w:val="24"/>
          <w:highlight w:val="yellow"/>
          <w:lang w:eastAsia="zh-CN"/>
        </w:rPr>
        <w:t>管理的项目（深层肌肉刺激仪、全自动前处理系统、全自动化学发光过敏原定量检测分析仪、荧光免疫定量分析仪）</w:t>
      </w:r>
      <w:r>
        <w:rPr>
          <w:rFonts w:hint="eastAsia" w:ascii="宋体" w:hAnsi="宋体" w:eastAsia="宋体" w:cs="宋体"/>
          <w:sz w:val="24"/>
          <w:highlight w:val="yellow"/>
        </w:rPr>
        <w:t>，需提供：</w:t>
      </w:r>
    </w:p>
    <w:p>
      <w:pPr>
        <w:pStyle w:val="37"/>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7"/>
        <w:widowControl/>
        <w:numPr>
          <w:ilvl w:val="0"/>
          <w:numId w:val="8"/>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（一）深层肌肉刺激仪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51"/>
        <w:gridCol w:w="147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5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351"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主机</w:t>
            </w:r>
          </w:p>
        </w:tc>
        <w:tc>
          <w:tcPr>
            <w:tcW w:w="1476"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3</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台</w:t>
            </w:r>
          </w:p>
        </w:tc>
        <w:tc>
          <w:tcPr>
            <w:tcW w:w="1275"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4</w:t>
            </w:r>
          </w:p>
        </w:tc>
        <w:tc>
          <w:tcPr>
            <w:tcW w:w="1276"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12</w:t>
            </w:r>
          </w:p>
        </w:tc>
        <w:tc>
          <w:tcPr>
            <w:tcW w:w="1599" w:type="dxa"/>
            <w:vAlign w:val="center"/>
          </w:tcPr>
          <w:p>
            <w:pPr>
              <w:spacing w:line="276" w:lineRule="auto"/>
              <w:jc w:val="center"/>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Align w:val="center"/>
          </w:tcPr>
          <w:p>
            <w:pPr>
              <w:spacing w:line="276" w:lineRule="auto"/>
              <w:jc w:val="center"/>
              <w:rPr>
                <w:rFonts w:asciiTheme="minorEastAsia" w:hAnsiTheme="minorEastAsia" w:eastAsiaTheme="minorEastAsia"/>
                <w:bCs/>
                <w:sz w:val="24"/>
                <w:szCs w:val="21"/>
              </w:rPr>
            </w:pPr>
            <w:r>
              <w:rPr>
                <w:rFonts w:hint="eastAsia" w:asciiTheme="majorEastAsia" w:hAnsiTheme="majorEastAsia" w:eastAsiaTheme="majorEastAsia"/>
                <w:b/>
                <w:sz w:val="24"/>
                <w:szCs w:val="21"/>
              </w:rPr>
              <w:t>2</w:t>
            </w:r>
          </w:p>
        </w:tc>
        <w:tc>
          <w:tcPr>
            <w:tcW w:w="2351"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电源线</w:t>
            </w:r>
          </w:p>
        </w:tc>
        <w:tc>
          <w:tcPr>
            <w:tcW w:w="14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3</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条</w:t>
            </w:r>
          </w:p>
        </w:tc>
        <w:tc>
          <w:tcPr>
            <w:tcW w:w="1275"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2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59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b/>
                <w:sz w:val="24"/>
                <w:szCs w:val="21"/>
              </w:rPr>
              <w:t>3</w:t>
            </w:r>
          </w:p>
        </w:tc>
        <w:tc>
          <w:tcPr>
            <w:tcW w:w="2351"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治疗头</w:t>
            </w:r>
          </w:p>
        </w:tc>
        <w:tc>
          <w:tcPr>
            <w:tcW w:w="14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75</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个</w:t>
            </w:r>
          </w:p>
        </w:tc>
        <w:tc>
          <w:tcPr>
            <w:tcW w:w="1275"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2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59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否</w:t>
            </w:r>
          </w:p>
        </w:tc>
      </w:tr>
    </w:tbl>
    <w:p>
      <w:pPr>
        <w:pStyle w:val="37"/>
        <w:spacing w:line="240" w:lineRule="auto"/>
        <w:ind w:left="0" w:firstLine="0" w:firstLineChars="0"/>
        <w:rPr>
          <w:rFonts w:hint="eastAsia" w:ascii="宋体" w:hAnsi="宋体" w:eastAsia="宋体" w:cs="宋体"/>
          <w:b/>
          <w:sz w:val="24"/>
          <w:lang w:val="en-US" w:eastAsia="zh-CN"/>
        </w:rPr>
      </w:pPr>
    </w:p>
    <w:p>
      <w:pPr>
        <w:pStyle w:val="37"/>
        <w:spacing w:line="240" w:lineRule="auto"/>
        <w:ind w:left="0" w:firstLine="0" w:firstLineChars="0"/>
        <w:rPr>
          <w:rFonts w:hint="eastAsia"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68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523" w:type="dxa"/>
            <w:gridSpan w:val="3"/>
            <w:noWrap w:val="0"/>
            <w:vAlign w:val="center"/>
          </w:tcPr>
          <w:p>
            <w:pPr>
              <w:rPr>
                <w:rFonts w:ascii="宋体" w:hAnsi="宋体" w:eastAsia="宋体"/>
                <w:b/>
                <w:sz w:val="28"/>
                <w:szCs w:val="21"/>
              </w:rPr>
            </w:pPr>
            <w:r>
              <w:rPr>
                <w:rFonts w:hint="eastAsia" w:ascii="宋体" w:hAnsi="宋体" w:eastAsia="宋体"/>
                <w:b/>
                <w:sz w:val="28"/>
                <w:szCs w:val="21"/>
              </w:rPr>
              <w:t>一、技术部分</w:t>
            </w:r>
          </w:p>
        </w:tc>
        <w:tc>
          <w:tcPr>
            <w:tcW w:w="1080" w:type="dxa"/>
            <w:noWrap w:val="0"/>
            <w:vAlign w:val="center"/>
          </w:tcPr>
          <w:p>
            <w:pPr>
              <w:jc w:val="center"/>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10" w:type="dxa"/>
            <w:noWrap w:val="0"/>
            <w:vAlign w:val="center"/>
          </w:tcPr>
          <w:p>
            <w:pPr>
              <w:jc w:val="center"/>
              <w:rPr>
                <w:rFonts w:ascii="宋体" w:hAnsi="宋体" w:eastAsia="宋体"/>
                <w:b/>
                <w:sz w:val="24"/>
                <w:szCs w:val="21"/>
              </w:rPr>
            </w:pPr>
            <w:r>
              <w:rPr>
                <w:rFonts w:hint="eastAsia" w:ascii="宋体" w:hAnsi="宋体" w:eastAsia="宋体"/>
                <w:b/>
                <w:sz w:val="24"/>
                <w:szCs w:val="21"/>
              </w:rPr>
              <w:t>序号</w:t>
            </w:r>
          </w:p>
        </w:tc>
        <w:tc>
          <w:tcPr>
            <w:tcW w:w="935" w:type="dxa"/>
            <w:noWrap w:val="0"/>
            <w:vAlign w:val="center"/>
          </w:tcPr>
          <w:p>
            <w:pPr>
              <w:jc w:val="center"/>
              <w:rPr>
                <w:rFonts w:ascii="宋体" w:hAnsi="宋体" w:eastAsia="宋体"/>
                <w:b/>
                <w:sz w:val="24"/>
                <w:szCs w:val="21"/>
              </w:rPr>
            </w:pPr>
            <w:r>
              <w:rPr>
                <w:rFonts w:hint="eastAsia" w:ascii="宋体" w:hAnsi="宋体" w:eastAsia="宋体"/>
                <w:b/>
                <w:sz w:val="24"/>
                <w:szCs w:val="21"/>
              </w:rPr>
              <w:t>货物名称</w:t>
            </w:r>
          </w:p>
        </w:tc>
        <w:tc>
          <w:tcPr>
            <w:tcW w:w="6878" w:type="dxa"/>
            <w:noWrap w:val="0"/>
            <w:vAlign w:val="center"/>
          </w:tcPr>
          <w:p>
            <w:pPr>
              <w:jc w:val="center"/>
              <w:rPr>
                <w:rFonts w:ascii="宋体" w:hAnsi="宋体" w:eastAsia="宋体"/>
                <w:b/>
                <w:sz w:val="24"/>
                <w:szCs w:val="21"/>
              </w:rPr>
            </w:pPr>
            <w:r>
              <w:rPr>
                <w:rFonts w:hint="eastAsia" w:ascii="宋体" w:hAnsi="宋体" w:eastAsia="宋体"/>
                <w:b/>
                <w:sz w:val="24"/>
                <w:szCs w:val="21"/>
              </w:rPr>
              <w:t>技术要求</w:t>
            </w:r>
          </w:p>
        </w:tc>
        <w:tc>
          <w:tcPr>
            <w:tcW w:w="1080" w:type="dxa"/>
            <w:noWrap w:val="0"/>
            <w:vAlign w:val="center"/>
          </w:tcPr>
          <w:p>
            <w:pPr>
              <w:jc w:val="center"/>
              <w:rPr>
                <w:rFonts w:ascii="宋体" w:hAnsi="宋体" w:eastAsia="宋体"/>
                <w:b/>
                <w:sz w:val="24"/>
                <w:szCs w:val="21"/>
              </w:rPr>
            </w:pPr>
            <w:r>
              <w:rPr>
                <w:rFonts w:hint="eastAsia" w:ascii="宋体" w:hAnsi="宋体" w:eastAsia="宋体"/>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restart"/>
            <w:noWrap w:val="0"/>
            <w:vAlign w:val="top"/>
          </w:tcPr>
          <w:p>
            <w:pPr>
              <w:spacing w:line="276" w:lineRule="auto"/>
              <w:rPr>
                <w:rFonts w:ascii="宋体" w:hAnsi="宋体" w:eastAsia="宋体"/>
                <w:b/>
                <w:sz w:val="24"/>
                <w:szCs w:val="21"/>
              </w:rPr>
            </w:pPr>
            <w:r>
              <w:rPr>
                <w:rFonts w:hint="eastAsia" w:asciiTheme="majorEastAsia" w:hAnsiTheme="majorEastAsia" w:eastAsiaTheme="majorEastAsia"/>
                <w:b/>
                <w:sz w:val="24"/>
                <w:szCs w:val="21"/>
              </w:rPr>
              <w:t>1</w:t>
            </w:r>
          </w:p>
        </w:tc>
        <w:tc>
          <w:tcPr>
            <w:tcW w:w="935" w:type="dxa"/>
            <w:vMerge w:val="restart"/>
            <w:noWrap w:val="0"/>
            <w:vAlign w:val="top"/>
          </w:tcPr>
          <w:p>
            <w:pPr>
              <w:spacing w:line="276" w:lineRule="auto"/>
              <w:rPr>
                <w:rFonts w:ascii="宋体" w:hAnsi="宋体" w:eastAsia="宋体"/>
                <w:b/>
                <w:sz w:val="24"/>
                <w:szCs w:val="21"/>
              </w:rPr>
            </w:pPr>
            <w:r>
              <w:rPr>
                <w:rFonts w:hint="eastAsia" w:asciiTheme="majorEastAsia" w:hAnsiTheme="majorEastAsia" w:eastAsiaTheme="majorEastAsia"/>
                <w:b/>
                <w:sz w:val="24"/>
                <w:szCs w:val="21"/>
              </w:rPr>
              <w:t>深层肌肉刺激仪</w:t>
            </w:r>
          </w:p>
        </w:tc>
        <w:tc>
          <w:tcPr>
            <w:tcW w:w="6878" w:type="dxa"/>
            <w:noWrap w:val="0"/>
            <w:vAlign w:val="top"/>
          </w:tcPr>
          <w:p>
            <w:pPr>
              <w:spacing w:line="276" w:lineRule="auto"/>
              <w:rPr>
                <w:rFonts w:hint="eastAsia" w:ascii="宋体" w:hAnsi="宋体" w:eastAsia="宋体"/>
                <w:sz w:val="24"/>
                <w:szCs w:val="21"/>
                <w:lang w:eastAsia="zh-CN"/>
              </w:rPr>
            </w:pPr>
            <w:r>
              <w:rPr>
                <w:rFonts w:hint="eastAsia" w:asciiTheme="majorEastAsia" w:hAnsiTheme="majorEastAsia" w:eastAsiaTheme="majorEastAsia"/>
                <w:b/>
                <w:sz w:val="24"/>
                <w:szCs w:val="21"/>
              </w:rPr>
              <w:t>一、主机参数（按照配置清单逐一描述）</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pStyle w:val="37"/>
              <w:numPr>
                <w:ilvl w:val="0"/>
                <w:numId w:val="10"/>
              </w:numPr>
              <w:spacing w:line="276" w:lineRule="auto"/>
              <w:ind w:left="420" w:leftChars="0" w:hanging="420" w:firstLineChars="0"/>
              <w:rPr>
                <w:rFonts w:ascii="宋体" w:hAnsi="宋体" w:eastAsia="宋体"/>
                <w:sz w:val="24"/>
                <w:szCs w:val="21"/>
              </w:rPr>
            </w:pPr>
            <w:r>
              <w:rPr>
                <w:rFonts w:hint="eastAsia" w:ascii="宋体" w:hAnsi="宋体" w:cs="宋体"/>
                <w:sz w:val="24"/>
              </w:rPr>
              <w:t>显示方式：液晶触控显示屏</w:t>
            </w:r>
            <w:r>
              <w:rPr>
                <w:rFonts w:ascii="宋体" w:hAnsi="宋体" w:cs="宋体"/>
                <w:sz w:val="24"/>
              </w:rPr>
              <w:t>。</w:t>
            </w:r>
            <w:r>
              <w:rPr>
                <w:rFonts w:hint="eastAsia" w:ascii="宋体" w:hAnsi="宋体" w:cs="宋体"/>
                <w:sz w:val="24"/>
              </w:rPr>
              <w:t>显示当前转速及电量</w:t>
            </w:r>
            <w:r>
              <w:rPr>
                <w:rFonts w:ascii="宋体" w:hAnsi="宋体" w:cs="宋体"/>
                <w:sz w:val="24"/>
              </w:rPr>
              <w:t>，</w:t>
            </w:r>
            <w:r>
              <w:rPr>
                <w:rFonts w:hint="eastAsia" w:ascii="宋体" w:hAnsi="宋体" w:cs="宋体"/>
                <w:sz w:val="24"/>
              </w:rPr>
              <w:t>触屏调节</w:t>
            </w:r>
            <w:r>
              <w:rPr>
                <w:rFonts w:ascii="宋体" w:hAnsi="宋体" w:cs="宋体"/>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tabs>
                <w:tab w:val="left" w:pos="900"/>
              </w:tabs>
              <w:spacing w:line="240" w:lineRule="atLeast"/>
              <w:ind w:right="420" w:rightChars="200"/>
              <w:rPr>
                <w:rFonts w:ascii="宋体" w:hAnsi="宋体" w:cs="宋体"/>
                <w:sz w:val="24"/>
              </w:rPr>
            </w:pPr>
            <w:r>
              <w:rPr>
                <w:rFonts w:hint="eastAsia" w:ascii="宋体" w:hAnsi="宋体" w:cs="宋体"/>
                <w:sz w:val="24"/>
              </w:rPr>
              <w:t>2、电源：采用高能锂电池，内部直流电源，</w:t>
            </w:r>
          </w:p>
          <w:p>
            <w:pPr>
              <w:tabs>
                <w:tab w:val="left" w:pos="900"/>
              </w:tabs>
              <w:spacing w:line="240" w:lineRule="atLeast"/>
              <w:ind w:right="420" w:rightChars="200" w:firstLine="480" w:firstLineChars="200"/>
              <w:rPr>
                <w:rFonts w:ascii="宋体" w:hAnsi="宋体" w:cs="宋体"/>
                <w:sz w:val="24"/>
              </w:rPr>
            </w:pPr>
            <w:r>
              <w:rPr>
                <w:rFonts w:hint="eastAsia" w:ascii="宋体" w:hAnsi="宋体" w:cs="宋体"/>
                <w:sz w:val="24"/>
              </w:rPr>
              <w:t>a、24V，允差±10%，</w:t>
            </w:r>
          </w:p>
          <w:p>
            <w:pPr>
              <w:numPr>
                <w:ilvl w:val="0"/>
                <w:numId w:val="11"/>
              </w:numPr>
              <w:tabs>
                <w:tab w:val="left" w:pos="900"/>
              </w:tabs>
              <w:spacing w:line="240" w:lineRule="atLeast"/>
              <w:ind w:right="420" w:rightChars="200" w:firstLine="480" w:firstLineChars="200"/>
              <w:rPr>
                <w:rFonts w:ascii="宋体" w:hAnsi="宋体" w:cs="宋体"/>
                <w:sz w:val="24"/>
              </w:rPr>
            </w:pPr>
            <w:r>
              <w:rPr>
                <w:rFonts w:hint="eastAsia" w:ascii="宋体" w:hAnsi="宋体" w:cs="宋体"/>
                <w:sz w:val="24"/>
              </w:rPr>
              <w:t>电池容量：≥2600mAh，电能62.4Wh，允差±10%；</w:t>
            </w:r>
          </w:p>
          <w:p>
            <w:pPr>
              <w:spacing w:line="276" w:lineRule="auto"/>
              <w:rPr>
                <w:rFonts w:ascii="宋体" w:hAnsi="宋体" w:eastAsia="宋体"/>
                <w:sz w:val="24"/>
                <w:szCs w:val="21"/>
              </w:rPr>
            </w:pPr>
            <w:r>
              <w:rPr>
                <w:rFonts w:hint="eastAsia" w:ascii="宋体" w:hAnsi="宋体" w:cs="宋体"/>
                <w:sz w:val="24"/>
              </w:rPr>
              <w:t>续航时间 ≥3小时。</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sz w:val="24"/>
                <w:szCs w:val="21"/>
              </w:rPr>
            </w:pPr>
            <w:r>
              <w:rPr>
                <w:rFonts w:hint="eastAsia" w:ascii="宋体" w:hAnsi="宋体" w:cs="宋体"/>
                <w:sz w:val="24"/>
              </w:rPr>
              <w:t>3、振动幅度：6-12mm，最大12mm，可作用于上肢</w:t>
            </w:r>
            <w:r>
              <w:rPr>
                <w:rFonts w:ascii="宋体" w:hAnsi="宋体" w:cs="宋体"/>
                <w:sz w:val="24"/>
              </w:rPr>
              <w:t>、</w:t>
            </w:r>
            <w:r>
              <w:rPr>
                <w:rFonts w:hint="eastAsia" w:ascii="宋体" w:hAnsi="宋体" w:cs="宋体"/>
                <w:sz w:val="24"/>
              </w:rPr>
              <w:t>小腿等相对表浅的肌肉放松治疗以及满足大腿</w:t>
            </w:r>
            <w:r>
              <w:rPr>
                <w:rFonts w:ascii="宋体" w:hAnsi="宋体" w:cs="宋体"/>
                <w:sz w:val="24"/>
              </w:rPr>
              <w:t>、</w:t>
            </w:r>
            <w:r>
              <w:rPr>
                <w:rFonts w:hint="eastAsia" w:ascii="宋体" w:hAnsi="宋体" w:cs="宋体"/>
                <w:sz w:val="24"/>
              </w:rPr>
              <w:t>腰背</w:t>
            </w:r>
            <w:r>
              <w:rPr>
                <w:rFonts w:ascii="宋体" w:hAnsi="宋体" w:cs="宋体"/>
                <w:sz w:val="24"/>
              </w:rPr>
              <w:t>、</w:t>
            </w:r>
            <w:r>
              <w:rPr>
                <w:rFonts w:hint="eastAsia" w:ascii="宋体" w:hAnsi="宋体" w:cs="宋体"/>
                <w:sz w:val="24"/>
              </w:rPr>
              <w:t>臀部等肥大肌肉的深部放松治疗需求</w:t>
            </w:r>
            <w:r>
              <w:rPr>
                <w:rFonts w:ascii="宋体" w:hAnsi="宋体" w:cs="宋体"/>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4、</w:t>
            </w:r>
            <w:r>
              <w:rPr>
                <w:rFonts w:hint="eastAsia" w:ascii="宋体" w:hAnsi="宋体" w:cs="宋体"/>
                <w:b w:val="0"/>
                <w:bCs/>
                <w:sz w:val="24"/>
              </w:rPr>
              <w:t>转速：400-4500rpm可调</w:t>
            </w:r>
            <w:r>
              <w:rPr>
                <w:rFonts w:ascii="宋体" w:hAnsi="宋体" w:cs="宋体"/>
                <w:b w:val="0"/>
                <w:bCs/>
                <w:sz w:val="24"/>
              </w:rPr>
              <w:t>，</w:t>
            </w:r>
            <w:r>
              <w:rPr>
                <w:rFonts w:hint="eastAsia" w:ascii="宋体" w:hAnsi="宋体" w:cs="宋体"/>
                <w:b w:val="0"/>
                <w:bCs/>
                <w:sz w:val="24"/>
              </w:rPr>
              <w:t>步近</w:t>
            </w:r>
            <w:r>
              <w:rPr>
                <w:rFonts w:ascii="宋体" w:hAnsi="宋体" w:cs="宋体"/>
                <w:b w:val="0"/>
                <w:bCs/>
                <w:sz w:val="24"/>
              </w:rPr>
              <w:t>10</w:t>
            </w:r>
            <w:r>
              <w:rPr>
                <w:rFonts w:hint="eastAsia" w:ascii="宋体" w:hAnsi="宋体" w:cs="宋体"/>
                <w:b w:val="0"/>
                <w:bCs/>
                <w:sz w:val="24"/>
              </w:rPr>
              <w:t>rpm及</w:t>
            </w:r>
            <w:r>
              <w:rPr>
                <w:rFonts w:hint="eastAsia" w:ascii="宋体" w:hAnsi="宋体" w:cs="宋体"/>
                <w:b w:val="0"/>
                <w:bCs/>
                <w:color w:val="000000"/>
                <w:sz w:val="24"/>
              </w:rPr>
              <w:t>100rpm</w:t>
            </w:r>
            <w:r>
              <w:rPr>
                <w:rFonts w:ascii="宋体" w:hAnsi="宋体" w:cs="宋体"/>
                <w:b w:val="0"/>
                <w:bCs/>
                <w:sz w:val="24"/>
              </w:rPr>
              <w:t>，</w:t>
            </w:r>
            <w:r>
              <w:rPr>
                <w:rFonts w:hint="eastAsia" w:ascii="宋体" w:hAnsi="宋体" w:cs="宋体"/>
                <w:b w:val="0"/>
                <w:bCs/>
                <w:color w:val="000000"/>
                <w:sz w:val="24"/>
              </w:rPr>
              <w:t>允差±5%</w:t>
            </w:r>
            <w:r>
              <w:rPr>
                <w:rFonts w:hint="eastAsia" w:ascii="宋体" w:hAnsi="宋体" w:cs="宋体"/>
                <w:b w:val="0"/>
                <w:bCs/>
                <w:sz w:val="24"/>
              </w:rPr>
              <w:t>，</w:t>
            </w:r>
            <w:r>
              <w:rPr>
                <w:rFonts w:hint="eastAsia" w:ascii="宋体" w:hAnsi="宋体" w:cs="宋体"/>
                <w:b w:val="0"/>
                <w:bCs/>
                <w:color w:val="000000"/>
                <w:sz w:val="24"/>
              </w:rPr>
              <w:t>共≥411个档位可调</w:t>
            </w:r>
            <w:r>
              <w:rPr>
                <w:rFonts w:ascii="宋体" w:hAnsi="宋体" w:cs="宋体"/>
                <w:b w:val="0"/>
                <w:bCs/>
                <w:color w:val="000000"/>
                <w:sz w:val="24"/>
              </w:rPr>
              <w:t>，</w:t>
            </w:r>
            <w:r>
              <w:rPr>
                <w:rFonts w:hint="eastAsia" w:ascii="宋体" w:hAnsi="宋体" w:cs="宋体"/>
                <w:b w:val="0"/>
                <w:bCs/>
                <w:color w:val="000000"/>
                <w:sz w:val="24"/>
              </w:rPr>
              <w:t>满足不同病人</w:t>
            </w:r>
            <w:r>
              <w:rPr>
                <w:rFonts w:ascii="宋体" w:hAnsi="宋体" w:cs="宋体"/>
                <w:b w:val="0"/>
                <w:bCs/>
                <w:color w:val="000000"/>
                <w:sz w:val="24"/>
              </w:rPr>
              <w:t>，</w:t>
            </w:r>
            <w:r>
              <w:rPr>
                <w:rFonts w:hint="eastAsia" w:ascii="宋体" w:hAnsi="宋体" w:cs="宋体"/>
                <w:b w:val="0"/>
                <w:bCs/>
                <w:color w:val="000000"/>
                <w:sz w:val="24"/>
              </w:rPr>
              <w:t>不同治疗部位的个性化治疗方案的设置和治疗。</w:t>
            </w:r>
          </w:p>
        </w:tc>
        <w:tc>
          <w:tcPr>
            <w:tcW w:w="1080" w:type="dxa"/>
            <w:noWrap w:val="0"/>
            <w:vAlign w:val="top"/>
          </w:tcPr>
          <w:p>
            <w:pPr>
              <w:spacing w:line="276" w:lineRule="auto"/>
              <w:rPr>
                <w:rFonts w:ascii="宋体" w:hAnsi="宋体" w:eastAsia="宋体"/>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5、</w:t>
            </w:r>
            <w:r>
              <w:rPr>
                <w:rFonts w:hint="eastAsia" w:ascii="宋体" w:hAnsi="宋体" w:cs="宋体"/>
                <w:b w:val="0"/>
                <w:bCs/>
                <w:color w:val="000000"/>
                <w:sz w:val="24"/>
              </w:rPr>
              <w:t>最高振动频率：≥75Hz</w:t>
            </w:r>
            <w:r>
              <w:rPr>
                <w:rFonts w:ascii="宋体" w:hAnsi="宋体" w:cs="宋体"/>
                <w:b w:val="0"/>
                <w:bCs/>
                <w:color w:val="000000"/>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6、</w:t>
            </w:r>
            <w:r>
              <w:rPr>
                <w:rFonts w:hint="eastAsia" w:ascii="宋体" w:hAnsi="宋体" w:cs="宋体"/>
                <w:b w:val="0"/>
                <w:bCs/>
                <w:sz w:val="24"/>
              </w:rPr>
              <w:t>工作时间：智能芯片，AI智控，智能控制治疗时间，10min自动断电，允差±5%</w:t>
            </w:r>
            <w:r>
              <w:rPr>
                <w:rFonts w:ascii="宋体" w:hAnsi="宋体" w:cs="宋体"/>
                <w:b w:val="0"/>
                <w:bCs/>
                <w:sz w:val="24"/>
              </w:rPr>
              <w:t>，</w:t>
            </w:r>
            <w:r>
              <w:rPr>
                <w:rFonts w:hint="eastAsia" w:ascii="宋体" w:hAnsi="宋体" w:cs="宋体"/>
                <w:b w:val="0"/>
                <w:bCs/>
                <w:sz w:val="24"/>
              </w:rPr>
              <w:t>避免因过度的刺激造成肌肉损伤</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7、</w:t>
            </w:r>
            <w:r>
              <w:rPr>
                <w:rFonts w:hint="eastAsia" w:ascii="宋体" w:hAnsi="宋体" w:cs="宋体"/>
                <w:b w:val="0"/>
                <w:bCs/>
                <w:sz w:val="24"/>
              </w:rPr>
              <w:t>主机尺寸:（长宽高150mm×61mm×320mm，允差：±20mm）</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8、</w:t>
            </w:r>
            <w:r>
              <w:rPr>
                <w:rFonts w:hint="eastAsia" w:ascii="宋体" w:hAnsi="宋体" w:cs="宋体"/>
                <w:b w:val="0"/>
                <w:bCs/>
                <w:sz w:val="24"/>
              </w:rPr>
              <w:t>噪声：≤60dB（A），正常工作时，电机运转平稳，噪声低</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9、</w:t>
            </w:r>
            <w:r>
              <w:rPr>
                <w:rFonts w:hint="eastAsia" w:ascii="宋体" w:hAnsi="宋体" w:cs="宋体"/>
                <w:b w:val="0"/>
                <w:bCs/>
                <w:sz w:val="24"/>
              </w:rPr>
              <w:t>按摩头：≥ 25 种按摩头，根据不同的治疗需要，部位进行选择，满足不同治疗要求。可通过更换按摩头种类，模拟传统按摩手法：禅推、雀啄、掌摩、齿梳、指揉、指压、指按、拳振、揉捏、推、垂、击、拍、打、叩等。</w:t>
            </w:r>
          </w:p>
        </w:tc>
        <w:tc>
          <w:tcPr>
            <w:tcW w:w="1080" w:type="dxa"/>
            <w:noWrap w:val="0"/>
            <w:vAlign w:val="top"/>
          </w:tcPr>
          <w:p>
            <w:pPr>
              <w:spacing w:line="276" w:lineRule="auto"/>
              <w:rPr>
                <w:rFonts w:ascii="宋体" w:hAnsi="宋体" w:eastAsia="宋体"/>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10、</w:t>
            </w:r>
            <w:r>
              <w:rPr>
                <w:rFonts w:hint="eastAsia" w:ascii="宋体" w:hAnsi="宋体" w:cs="宋体"/>
                <w:b w:val="0"/>
                <w:bCs/>
                <w:sz w:val="24"/>
              </w:rPr>
              <w:t>配置</w:t>
            </w:r>
            <w:r>
              <w:rPr>
                <w:rFonts w:hint="eastAsia"/>
                <w:b w:val="0"/>
                <w:bCs/>
                <w:color w:val="000000"/>
                <w:kern w:val="0"/>
                <w:sz w:val="24"/>
              </w:rPr>
              <w:t>两个配重条（0.8kg、1.0kg），为存在深层肌肉疼痛和大肌群的松解治疗提供配重。</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11、</w:t>
            </w:r>
            <w:r>
              <w:rPr>
                <w:rFonts w:hint="eastAsia" w:ascii="宋体" w:hAnsi="宋体" w:cs="宋体"/>
                <w:b w:val="0"/>
                <w:bCs/>
                <w:sz w:val="24"/>
              </w:rPr>
              <w:t>主机高度为</w:t>
            </w:r>
            <w:r>
              <w:rPr>
                <w:rFonts w:ascii="宋体" w:hAnsi="宋体" w:cs="宋体"/>
                <w:b w:val="0"/>
                <w:bCs/>
                <w:sz w:val="24"/>
              </w:rPr>
              <w:t>32</w:t>
            </w:r>
            <w:r>
              <w:rPr>
                <w:rFonts w:hint="eastAsia" w:ascii="宋体" w:hAnsi="宋体" w:cs="宋体"/>
                <w:b w:val="0"/>
                <w:bCs/>
                <w:sz w:val="24"/>
              </w:rPr>
              <w:t>0mm±20mm</w:t>
            </w:r>
            <w:r>
              <w:rPr>
                <w:rFonts w:ascii="宋体" w:hAnsi="宋体" w:cs="宋体"/>
                <w:b w:val="0"/>
                <w:bCs/>
                <w:sz w:val="24"/>
              </w:rPr>
              <w:t>，</w:t>
            </w:r>
            <w:r>
              <w:rPr>
                <w:rFonts w:hint="eastAsia" w:ascii="宋体" w:hAnsi="宋体" w:cs="宋体"/>
                <w:b w:val="0"/>
                <w:bCs/>
                <w:sz w:val="24"/>
              </w:rPr>
              <w:t>手柄配有专用橡胶防滑皮套</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12、</w:t>
            </w:r>
            <w:r>
              <w:rPr>
                <w:rFonts w:hint="eastAsia" w:ascii="宋体" w:hAnsi="宋体" w:cs="宋体"/>
                <w:b w:val="0"/>
                <w:bCs/>
                <w:sz w:val="24"/>
              </w:rPr>
              <w:t>采用航空拉杆行李箱，方便携带，不受空间场地限制。</w:t>
            </w:r>
          </w:p>
        </w:tc>
        <w:tc>
          <w:tcPr>
            <w:tcW w:w="1080" w:type="dxa"/>
            <w:noWrap w:val="0"/>
            <w:vAlign w:val="top"/>
          </w:tcPr>
          <w:p>
            <w:pPr>
              <w:spacing w:line="276" w:lineRule="auto"/>
              <w:rPr>
                <w:rFonts w:ascii="宋体" w:hAnsi="宋体" w:eastAsia="宋体"/>
                <w:b/>
                <w:sz w:val="24"/>
                <w:szCs w:val="21"/>
              </w:rPr>
            </w:pPr>
          </w:p>
        </w:tc>
      </w:tr>
    </w:tbl>
    <w:p>
      <w:pPr>
        <w:pStyle w:val="10"/>
        <w:numPr>
          <w:ilvl w:val="0"/>
          <w:numId w:val="0"/>
        </w:numPr>
      </w:pPr>
    </w:p>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（二）全自动前处理系统</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p>
        </w:tc>
        <w:tc>
          <w:tcPr>
            <w:tcW w:w="2977"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全自动前处理系统</w:t>
            </w:r>
          </w:p>
        </w:tc>
        <w:tc>
          <w:tcPr>
            <w:tcW w:w="850"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1276"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仪器主机</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2</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lang w:val="en-US" w:eastAsia="zh-CN"/>
              </w:rPr>
              <w:t>医用电子屏</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3</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12位试管架H</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8</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4</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离心管套</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48</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5</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通针</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电源线</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7</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废液桶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8</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孵育遮光罩</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9</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废液瓶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10</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洗液瓶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11</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USB小音箱</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33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33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bCs w:val="0"/>
                <w:sz w:val="24"/>
                <w:szCs w:val="21"/>
              </w:rPr>
            </w:pPr>
            <w:r>
              <w:rPr>
                <w:rFonts w:hint="eastAsia" w:asciiTheme="majorEastAsia" w:hAnsiTheme="majorEastAsia" w:eastAsiaTheme="majorEastAsia"/>
                <w:b w:val="0"/>
                <w:bCs/>
                <w:sz w:val="24"/>
                <w:szCs w:val="21"/>
              </w:rPr>
              <w:t>全自动前处理系统</w:t>
            </w:r>
          </w:p>
        </w:tc>
        <w:tc>
          <w:tcPr>
            <w:tcW w:w="7338" w:type="dxa"/>
            <w:vAlign w:val="top"/>
          </w:tcPr>
          <w:p>
            <w:pPr>
              <w:spacing w:line="276" w:lineRule="auto"/>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rPr>
              <w:t>一、主机参数（按照配置清单逐一描述）</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1、外形尺寸：</w:t>
            </w:r>
            <w:r>
              <w:rPr>
                <w:rFonts w:ascii="宋体" w:hAnsi="宋体"/>
                <w:b w:val="0"/>
                <w:bCs/>
                <w:sz w:val="22"/>
                <w:szCs w:val="21"/>
              </w:rPr>
              <w:t>≤</w:t>
            </w:r>
            <w:r>
              <w:rPr>
                <w:rFonts w:hint="eastAsia" w:asciiTheme="majorEastAsia" w:hAnsiTheme="majorEastAsia" w:eastAsiaTheme="majorEastAsia"/>
                <w:b w:val="0"/>
                <w:bCs/>
                <w:sz w:val="24"/>
                <w:szCs w:val="21"/>
              </w:rPr>
              <w:t>（WxDxH）7500mmx880mmx660mm</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2、重量（kg）:100kg</w:t>
            </w:r>
            <w:r>
              <w:rPr>
                <w:rFonts w:asciiTheme="majorEastAsia" w:hAnsiTheme="majorEastAsia" w:eastAsiaTheme="majorEastAsia"/>
                <w:b w:val="0"/>
                <w:bCs/>
                <w:sz w:val="24"/>
                <w:szCs w:val="21"/>
              </w:rPr>
              <w:t>±10Kg</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3、最大输入功率：</w:t>
            </w:r>
            <w:r>
              <w:rPr>
                <w:rFonts w:ascii="宋体" w:hAnsi="宋体"/>
                <w:b w:val="0"/>
                <w:bCs/>
                <w:sz w:val="22"/>
                <w:szCs w:val="21"/>
              </w:rPr>
              <w:t>≤</w:t>
            </w:r>
            <w:r>
              <w:rPr>
                <w:rFonts w:hint="eastAsia" w:asciiTheme="majorEastAsia" w:hAnsiTheme="majorEastAsia" w:eastAsiaTheme="majorEastAsia"/>
                <w:b w:val="0"/>
                <w:bCs/>
                <w:sz w:val="24"/>
                <w:szCs w:val="21"/>
              </w:rPr>
              <w:t>300W</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4、样本通量：1-96个样本</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5、加样通道：双加样通道</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6、移液精度：加样量5uL:准确度≤±10.0%;精密度CV≤8.0%</w:t>
            </w:r>
          </w:p>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加样量10uL:准确度≤±5.0%;精密度CV≤3.0%加样量100μL:准确度≤±1.5%;精密度CV≤1.0%加样量250μL:准确度≤±1.0%;精密度CV ≤0.5%</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7、移液范围:1-1000ul</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Cs w:val="21"/>
              </w:rPr>
            </w:pPr>
            <w:r>
              <w:rPr>
                <w:rFonts w:hint="eastAsia" w:asciiTheme="majorEastAsia" w:hAnsiTheme="majorEastAsia" w:eastAsiaTheme="majorEastAsia"/>
                <w:b w:val="0"/>
                <w:bCs/>
                <w:sz w:val="24"/>
                <w:szCs w:val="21"/>
              </w:rPr>
              <w:t>8、加样功能:压力感应式探测原理探测液面和凝块</w:t>
            </w:r>
          </w:p>
        </w:tc>
        <w:tc>
          <w:tcPr>
            <w:tcW w:w="1043" w:type="dxa"/>
            <w:vAlign w:val="top"/>
          </w:tcPr>
          <w:p>
            <w:pPr>
              <w:spacing w:line="276" w:lineRule="auto"/>
              <w:rPr>
                <w:rFonts w:asciiTheme="majorEastAsia" w:hAnsiTheme="majorEastAsia" w:eastAsiaTheme="majorEastAsia"/>
                <w:b/>
                <w:sz w:val="24"/>
                <w:szCs w:val="21"/>
              </w:rPr>
            </w:pPr>
          </w:p>
        </w:tc>
      </w:tr>
    </w:tbl>
    <w:p>
      <w:pPr>
        <w:pStyle w:val="37"/>
        <w:spacing w:line="540" w:lineRule="exact"/>
        <w:ind w:left="420"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（三）全自动化学发光过敏原定量检测分析仪</w:t>
      </w:r>
    </w:p>
    <w:p>
      <w:pPr>
        <w:numPr>
          <w:ilvl w:val="0"/>
          <w:numId w:val="12"/>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仪器主机</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台</w:t>
            </w:r>
          </w:p>
        </w:tc>
        <w:tc>
          <w:tcPr>
            <w:tcW w:w="1275" w:type="dxa"/>
            <w:vMerge w:val="restart"/>
            <w:vAlign w:val="center"/>
          </w:tcPr>
          <w:p>
            <w:pPr>
              <w:spacing w:line="276" w:lineRule="auto"/>
              <w:jc w:val="center"/>
              <w:rPr>
                <w:rFonts w:asciiTheme="majorEastAsia" w:hAnsiTheme="majorEastAsia" w:eastAsiaTheme="majorEastAsia"/>
                <w:b w:val="0"/>
                <w:bCs/>
                <w:color w:val="FF0000"/>
                <w:sz w:val="24"/>
                <w:szCs w:val="21"/>
              </w:rPr>
            </w:pPr>
            <w:r>
              <w:rPr>
                <w:rFonts w:hint="eastAsia" w:ascii="宋体" w:hAnsi="宋体" w:eastAsia="宋体" w:cs="宋体"/>
                <w:b w:val="0"/>
                <w:bCs/>
                <w:sz w:val="24"/>
                <w:szCs w:val="21"/>
              </w:rPr>
              <w:t>0.15</w:t>
            </w:r>
          </w:p>
        </w:tc>
        <w:tc>
          <w:tcPr>
            <w:tcW w:w="1276" w:type="dxa"/>
            <w:vMerge w:val="restart"/>
            <w:vAlign w:val="center"/>
          </w:tcPr>
          <w:p>
            <w:pPr>
              <w:spacing w:line="276" w:lineRule="auto"/>
              <w:jc w:val="center"/>
              <w:rPr>
                <w:rFonts w:asciiTheme="majorEastAsia" w:hAnsiTheme="majorEastAsia" w:eastAsiaTheme="majorEastAsia"/>
                <w:b w:val="0"/>
                <w:bCs/>
                <w:color w:val="FF0000"/>
                <w:sz w:val="24"/>
                <w:szCs w:val="21"/>
              </w:rPr>
            </w:pPr>
            <w:r>
              <w:rPr>
                <w:rFonts w:hint="eastAsia" w:ascii="宋体" w:hAnsi="宋体" w:eastAsia="宋体" w:cs="宋体"/>
                <w:b w:val="0"/>
                <w:bCs/>
                <w:sz w:val="24"/>
                <w:szCs w:val="21"/>
              </w:rPr>
              <w:t>0.15</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医用电子屏</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手持扫码器</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把</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rPr>
                <w:rFonts w:asciiTheme="majorEastAsia" w:hAnsiTheme="majorEastAsia" w:eastAsiaTheme="majorEastAsia"/>
                <w:b w:val="0"/>
                <w:bCs/>
                <w:sz w:val="24"/>
                <w:szCs w:val="21"/>
              </w:rPr>
            </w:pPr>
            <w:r>
              <w:rPr>
                <w:rFonts w:hint="eastAsia" w:ascii="宋体" w:hAnsi="宋体" w:eastAsia="宋体" w:cs="宋体"/>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外接水套件</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846"/>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84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5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全自动化学发光过敏原定量检测分析仪</w:t>
            </w:r>
          </w:p>
        </w:tc>
        <w:tc>
          <w:tcPr>
            <w:tcW w:w="7846" w:type="dxa"/>
            <w:vAlign w:val="top"/>
          </w:tcPr>
          <w:p>
            <w:pPr>
              <w:spacing w:line="276" w:lineRule="auto"/>
              <w:rPr>
                <w:rFonts w:hint="eastAsia" w:eastAsia="宋体" w:asciiTheme="majorEastAsia" w:hAnsiTheme="majorEastAsia"/>
                <w:b/>
                <w:sz w:val="24"/>
                <w:szCs w:val="21"/>
                <w:lang w:eastAsia="zh-CN"/>
              </w:rPr>
            </w:pPr>
            <w:r>
              <w:rPr>
                <w:rFonts w:hint="eastAsia" w:ascii="宋体" w:hAnsi="宋体" w:eastAsia="宋体" w:cs="宋体"/>
                <w:b/>
                <w:sz w:val="24"/>
                <w:szCs w:val="21"/>
              </w:rPr>
              <w:t>一、主机参数（按照配置清单逐一描述）</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1、方法学名称：荧光磁微粒化学发光免疫法</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2、检测速度：≥10</w:t>
            </w:r>
            <w:r>
              <w:rPr>
                <w:rFonts w:hint="eastAsia" w:ascii="宋体" w:hAnsi="宋体" w:eastAsia="宋体" w:cs="宋体"/>
                <w:color w:val="000000"/>
                <w:sz w:val="22"/>
              </w:rPr>
              <w:t>0</w:t>
            </w:r>
            <w:r>
              <w:rPr>
                <w:rFonts w:hint="eastAsia" w:ascii="宋体" w:hAnsi="宋体" w:eastAsia="宋体" w:cs="宋体"/>
                <w:sz w:val="22"/>
              </w:rPr>
              <w:t>测试/小时。</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3、检测项目：≥56个项目；可以检测食物过敏原类，室内过敏原类，室外过敏原类，总IgE，混合筛查，组分检测等项目。</w:t>
            </w:r>
          </w:p>
        </w:tc>
        <w:tc>
          <w:tcPr>
            <w:tcW w:w="535"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4、过敏原特异性IgE单项：≥37个项目</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5、过敏原组分检测单项：≥4个不同物种，≥11个单项。</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6、特异性IgE检出限和线性：检出限≤0.1kU/L，线性范围：0.1-100kU/L。</w:t>
            </w:r>
          </w:p>
        </w:tc>
        <w:tc>
          <w:tcPr>
            <w:tcW w:w="535"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b/>
                <w:sz w:val="24"/>
                <w:szCs w:val="21"/>
              </w:rPr>
              <w:t>二、配件参数（按照配置清单逐一描述）</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color w:val="000000"/>
                <w:sz w:val="22"/>
              </w:rPr>
              <w:t>7、</w:t>
            </w:r>
            <w:r>
              <w:rPr>
                <w:rFonts w:hint="eastAsia" w:ascii="宋体" w:hAnsi="宋体" w:eastAsia="宋体" w:cs="宋体"/>
                <w:sz w:val="22"/>
              </w:rPr>
              <w:t>样本进样方式：转盘式批量进样，一次性上机≥55个样本，样本盘具有冷藏功能。</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rPr>
              <w:t>8、</w:t>
            </w:r>
            <w:r>
              <w:rPr>
                <w:rFonts w:hint="eastAsia" w:ascii="宋体" w:hAnsi="宋体" w:eastAsia="宋体" w:cs="宋体"/>
                <w:sz w:val="22"/>
              </w:rPr>
              <w:t>试剂盘: 单台仪器≥120个试剂位，具有冷藏功能。</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9、样品类型：血清。</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10、样本用量：≤5μL/测试。</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11、校准方式：6点校准，能溯源至WHO人IgE国际参考品11/234。</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12、质控方式：能提供阴性和阳性质控品，阳性质控品至少包含4个项目。</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13、特异性IgE精密度：批内变异系数CV≤10%。</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b/>
                <w:sz w:val="24"/>
                <w:szCs w:val="21"/>
              </w:rPr>
              <w:t>三、软件参数（按照配置清单逐一描述）</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14、图形化用户界面，触控操作，提供测试进度与完成时间信息</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15、LIS通讯协议：ASTM或HL7可选。</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16、远程功能：远程在线技术支持，及时快速的解决仪器故障，保障仪器正常使用。</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17、液面检测功能：具备液面检测功能，避免空吸，实时检测和更新试剂剩余量。</w:t>
            </w:r>
          </w:p>
        </w:tc>
        <w:tc>
          <w:tcPr>
            <w:tcW w:w="535" w:type="dxa"/>
            <w:vAlign w:val="top"/>
          </w:tcPr>
          <w:p>
            <w:pPr>
              <w:spacing w:line="276" w:lineRule="auto"/>
              <w:rPr>
                <w:rFonts w:ascii="宋体" w:hAnsi="宋体" w:cs="宋体"/>
                <w:bCs/>
              </w:rPr>
            </w:pPr>
          </w:p>
        </w:tc>
      </w:tr>
    </w:tbl>
    <w:p>
      <w:pPr>
        <w:pStyle w:val="37"/>
        <w:spacing w:line="240" w:lineRule="auto"/>
        <w:ind w:left="0" w:firstLine="0" w:firstLineChars="0"/>
        <w:rPr>
          <w:rFonts w:hint="eastAsia" w:ascii="宋体" w:hAnsi="宋体" w:eastAsia="宋体" w:cs="宋体"/>
          <w:b/>
          <w:bCs/>
          <w:sz w:val="24"/>
        </w:rPr>
      </w:pPr>
    </w:p>
    <w:p>
      <w:pPr>
        <w:pStyle w:val="37"/>
        <w:spacing w:line="240" w:lineRule="auto"/>
        <w:ind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（四）荧光免疫定量分析仪</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荧光免疫定量分析仪</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0.15</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0.15</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2</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电源线</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val="en-US" w:eastAsia="zh-CN"/>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荧光免疫定量分析仪</w:t>
            </w:r>
          </w:p>
        </w:tc>
        <w:tc>
          <w:tcPr>
            <w:tcW w:w="7564" w:type="dxa"/>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1、检测方法：荧光免疫定量分析法</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2、能检测项目：心肌肌钙蛋白I（cTnI）、N-端脑利钠肽前体（NT-proBNP）、全量程C反应蛋白（hs-CRP+CRP）、N-端脑利钠肽前体/心肌肌钙蛋白I（NT-proBNP/cTnI）二联项目检测、肌酸激酶同工酶/心肌肌钙蛋白I/肌红蛋白（CK-MB/cTnI/Myo）三联项目检测、D-二聚体（D-Dimer）、降钙素原（PCT）、尿微量白蛋白（mAlb）、胱抑制素C（CysC）、β2-微球蛋白（β2-MG）、中性粒细胞明胶酶相关脂质运载蛋白（NGAL）、心型脂肪酸结合蛋白（H-FABP）、降钙素原/C反应蛋白“PCT/CRP”二联项目检测、肌酸激酶同工酶/心肌肌钙蛋白I/心型脂肪酸结合蛋白（CK-MB/cTnI/H-FABP）三联项目检测、糖化血红蛋白（HbA1c）</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lang w:eastAsia="zh-CN"/>
              </w:rPr>
            </w:pPr>
            <w:r>
              <w:rPr>
                <w:rFonts w:hint="eastAsia"/>
              </w:rPr>
              <w:t>3、光源：LED 蓝光</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4、工作模式：同时间多项目检测，全自动机内操作模式：自动摇匀采血管、穿刺取样、混匀、滴加、孵育、检测、弃卡</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5、测试速率： 200 个测试/小时</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6、单次进样数量：40 个检测样本</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7、操作：开机无需预热，迅速进入待测状态</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 xml:space="preserve">8、样本量：用血量 10-75μl </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9、显示系统：</w:t>
            </w:r>
            <w:r>
              <w:rPr>
                <w:rFonts w:hint="eastAsia"/>
                <w:lang w:val="en-US" w:eastAsia="zh-CN"/>
              </w:rPr>
              <w:t>内置</w:t>
            </w:r>
            <w:r>
              <w:rPr>
                <w:rFonts w:hint="eastAsia"/>
              </w:rPr>
              <w:t>微型电脑控制，≥12 寸全触摸彩色屏</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10、温控：带有温控模块，保证检测结果稳定性</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11、软件系统：自带 Linux 操作系统下的测试控制管理软件，可使用虚拟键盘</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12、扫描系统：内置激光扫描器，可自动扫描采血管上的一维条码；亦可外接扫描器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13、结果数据管理：可存储结果数据＞20000 条，可智能选择结果查询时间区间进行结果管理</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 xml:space="preserve">14、打印系统：可外接 USB 打印机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 xml:space="preserve">15、通讯硬件接口：USB 接口、以太网络接口、COM 接口、VGA 接口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16、</w:t>
            </w:r>
            <w:r>
              <w:rPr>
                <w:rFonts w:hint="eastAsia"/>
                <w:lang w:val="en-US" w:eastAsia="zh-CN"/>
              </w:rPr>
              <w:t>医用</w:t>
            </w:r>
            <w:r>
              <w:rPr>
                <w:rFonts w:hint="eastAsia"/>
              </w:rPr>
              <w:t>屏≥12.1英寸LCD彩色触摸显示屏、1280×800分辨率或更优</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17、通讯支持：支持 LIS、HIS 连接、电脑连接、外置扫描仪连接、外置打印机连接</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18、电源输入接口：3P 电源端口</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19、操作温度：10℃-31℃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20、操作相对环境湿度：20%-90%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21、储存温度：-10℃-50℃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22、储存相对环境湿度：25%-93%</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23、电源：AC220V，频率 50HZ</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24、</w:t>
            </w:r>
            <w:r>
              <w:rPr>
                <w:rFonts w:hint="eastAsia"/>
              </w:rPr>
              <w:t>ID 芯片：匹配测试卡的批号和条形码识别，进行具体校准</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25、标本类型：全血、血清、血浆均可适用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26、</w:t>
            </w:r>
            <w:r>
              <w:rPr>
                <w:rFonts w:hint="eastAsia"/>
              </w:rPr>
              <w:t>检测时间：3-15min 获得结果</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27、</w:t>
            </w:r>
            <w:r>
              <w:rPr>
                <w:rFonts w:hint="eastAsia"/>
              </w:rPr>
              <w:t>不精密度：CV≤15%</w:t>
            </w:r>
          </w:p>
        </w:tc>
        <w:tc>
          <w:tcPr>
            <w:tcW w:w="817" w:type="dxa"/>
            <w:vAlign w:val="top"/>
          </w:tcPr>
          <w:p>
            <w:pPr>
              <w:spacing w:line="276" w:lineRule="auto"/>
              <w:jc w:val="center"/>
              <w:rPr>
                <w:rFonts w:asciiTheme="majorEastAsia" w:hAnsiTheme="majorEastAsia" w:eastAsiaTheme="majorEastAsia"/>
                <w:b/>
                <w:sz w:val="24"/>
                <w:szCs w:val="21"/>
              </w:rPr>
            </w:pPr>
          </w:p>
        </w:tc>
      </w:tr>
    </w:tbl>
    <w:p>
      <w:pPr>
        <w:pStyle w:val="37"/>
        <w:spacing w:line="240" w:lineRule="auto"/>
        <w:ind w:left="0" w:firstLine="0" w:firstLineChars="0"/>
        <w:rPr>
          <w:rFonts w:hint="eastAsia" w:ascii="宋体" w:hAnsi="宋体" w:eastAsia="宋体" w:cs="宋体"/>
          <w:b/>
          <w:bCs/>
          <w:sz w:val="24"/>
        </w:rPr>
      </w:pPr>
    </w:p>
    <w:p>
      <w:pPr>
        <w:pStyle w:val="10"/>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eastAsia"/>
                <w:highlight w:val="yellow"/>
                <w:lang w:val="en-US" w:eastAsia="zh-CN"/>
              </w:rPr>
            </w:pPr>
            <w:r>
              <w:rPr>
                <w:rFonts w:hint="eastAsia"/>
                <w:highlight w:val="yellow"/>
                <w:lang w:val="en-US" w:eastAsia="zh-CN"/>
              </w:rPr>
              <w:t>（1）深层肌肉刺激仪项目：合同签订后并接甲方通知_10_日历日内；</w:t>
            </w:r>
          </w:p>
          <w:p>
            <w:pPr>
              <w:spacing w:line="276" w:lineRule="auto"/>
              <w:rPr>
                <w:rFonts w:hint="eastAsia"/>
                <w:highlight w:val="yellow"/>
                <w:lang w:val="en-US" w:eastAsia="zh-CN"/>
              </w:rPr>
            </w:pPr>
            <w:r>
              <w:rPr>
                <w:rFonts w:hint="eastAsia"/>
                <w:highlight w:val="yellow"/>
                <w:lang w:val="en-US" w:eastAsia="zh-CN"/>
              </w:rPr>
              <w:t>（2）全自动前处理系统项目：合同签订后并接采购人通知_30_日历日内；</w:t>
            </w:r>
          </w:p>
          <w:p>
            <w:pPr>
              <w:spacing w:line="276" w:lineRule="auto"/>
              <w:rPr>
                <w:rFonts w:hint="eastAsia"/>
                <w:highlight w:val="yellow"/>
                <w:lang w:val="en-US" w:eastAsia="zh-CN"/>
              </w:rPr>
            </w:pPr>
            <w:r>
              <w:rPr>
                <w:rFonts w:hint="eastAsia"/>
                <w:highlight w:val="yellow"/>
                <w:lang w:val="en-US" w:eastAsia="zh-CN"/>
              </w:rPr>
              <w:t>（3）全自动化学发光过敏原定量检测分析仪项目：同签订后并接甲方通知60日历日内；</w:t>
            </w:r>
          </w:p>
          <w:p>
            <w:pPr>
              <w:spacing w:line="276" w:lineRule="auto"/>
              <w:rPr>
                <w:rFonts w:hint="default"/>
                <w:lang w:val="en-US" w:eastAsia="zh-CN"/>
              </w:rPr>
            </w:pPr>
            <w:r>
              <w:rPr>
                <w:rFonts w:hint="eastAsia"/>
                <w:highlight w:val="yellow"/>
                <w:lang w:val="en-US" w:eastAsia="zh-CN"/>
              </w:rPr>
              <w:t>（4）荧光免疫定量分析仪：合同签订后并接甲方通知_3_日历日内。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hint="eastAsia" w:asciiTheme="minorEastAsia" w:hAnsiTheme="minorEastAsia" w:cstheme="minorEastAsia"/>
                <w:szCs w:val="21"/>
              </w:rPr>
              <w:t>内未发生中标人不履行或不妥善履行合同约定义务的情况，在</w:t>
            </w:r>
            <w:r>
              <w:rPr>
                <w:rFonts w:hint="eastAsia"/>
              </w:rPr>
              <w:t>中标人履行完毕合同约定的义务事项</w:t>
            </w:r>
            <w:r>
              <w:rPr>
                <w:rFonts w:hint="eastAsia" w:asciiTheme="minorEastAsia" w:hAnsiTheme="minorEastAsia" w:cstheme="minorEastAsia"/>
                <w:szCs w:val="21"/>
              </w:rPr>
              <w:t>后，中标人向采购人提供完整资料到达采购人财务之日起30日内，采购人将履约保证金无息返还给中标人。</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货到清点、安装调试验收合格正常使用后，中标人出具全额发票，采购人凭中标人提供的完整资料，自发票到达采购人财务之日起30日内，支付100%合同货款到中标人指定帐户。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1</w:t>
            </w: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深层肌肉刺激仪、全自动前处理系统、全自动化学发光过敏原定量检测分析仪项目</w:t>
            </w:r>
            <w:r>
              <w:rPr>
                <w:rFonts w:hint="eastAsia" w:hAnsi="宋体" w:eastAsia="宋体"/>
                <w:b/>
                <w:bCs/>
                <w:color w:val="000000"/>
                <w:kern w:val="0"/>
                <w:sz w:val="24"/>
                <w:highlight w:val="yellow"/>
                <w:lang w:eastAsia="zh-CN"/>
              </w:rPr>
              <w:t xml:space="preserve">：免费原厂保修期 </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 xml:space="preserve"> 年；</w:t>
            </w:r>
          </w:p>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2</w:t>
            </w: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荧光免疫定量分析仪项目：</w:t>
            </w:r>
            <w:r>
              <w:rPr>
                <w:rFonts w:hint="eastAsia" w:hAnsi="宋体" w:eastAsia="宋体"/>
                <w:b/>
                <w:bCs/>
                <w:color w:val="000000"/>
                <w:kern w:val="0"/>
                <w:sz w:val="24"/>
                <w:highlight w:val="yellow"/>
                <w:lang w:eastAsia="zh-CN"/>
              </w:rPr>
              <w:t>免费原厂</w:t>
            </w:r>
            <w:r>
              <w:rPr>
                <w:rFonts w:hint="eastAsia" w:asciiTheme="minorEastAsia" w:hAnsiTheme="minorEastAsia" w:eastAsiaTheme="minorEastAsia"/>
                <w:b/>
                <w:bCs/>
                <w:sz w:val="24"/>
                <w:szCs w:val="21"/>
                <w:highlight w:val="yellow"/>
              </w:rPr>
              <w:t>终身</w:t>
            </w:r>
            <w:r>
              <w:rPr>
                <w:rFonts w:hint="eastAsia" w:asciiTheme="minorEastAsia" w:hAnsiTheme="minorEastAsia"/>
                <w:b/>
                <w:bCs/>
                <w:sz w:val="24"/>
                <w:szCs w:val="21"/>
                <w:highlight w:val="yellow"/>
                <w:lang w:val="en-US" w:eastAsia="zh-CN"/>
              </w:rPr>
              <w:t>维保</w:t>
            </w:r>
            <w:r>
              <w:rPr>
                <w:rFonts w:hint="eastAsia" w:hAnsi="宋体" w:eastAsia="宋体"/>
                <w:b/>
                <w:bCs/>
                <w:color w:val="000000"/>
                <w:kern w:val="0"/>
                <w:sz w:val="24"/>
                <w:highlight w:val="yellow"/>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pStyle w:val="2"/>
        <w:ind w:firstLine="420"/>
        <w:rPr>
          <w:rFonts w:ascii="Times New Roman"/>
        </w:rPr>
      </w:pPr>
    </w:p>
    <w:p>
      <w:pPr>
        <w:pStyle w:val="2"/>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1" w:name="_Toc24338"/>
      <w:bookmarkStart w:id="2" w:name="_Toc9128_WPSOffice_Level1"/>
      <w:bookmarkStart w:id="3" w:name="_Toc435115056"/>
      <w:bookmarkStart w:id="4" w:name="_Toc57128626"/>
      <w:bookmarkStart w:id="5" w:name="_Toc435514851"/>
      <w:bookmarkStart w:id="6" w:name="_Toc8307306"/>
      <w:bookmarkStart w:id="7" w:name="_Toc22206"/>
      <w:r>
        <w:rPr>
          <w:rFonts w:hint="eastAsia" w:ascii="方正小标宋简体" w:hAnsi="方正小标宋简体" w:eastAsia="方正小标宋简体" w:cs="方正小标宋简体"/>
          <w:kern w:val="0"/>
          <w:sz w:val="44"/>
          <w:szCs w:val="36"/>
        </w:rPr>
        <w:t>第三章 响应文件格式</w:t>
      </w:r>
      <w:bookmarkEnd w:id="1"/>
      <w:bookmarkEnd w:id="2"/>
      <w:bookmarkEnd w:id="3"/>
      <w:bookmarkEnd w:id="4"/>
      <w:bookmarkEnd w:id="5"/>
      <w:bookmarkEnd w:id="6"/>
      <w:bookmarkEnd w:id="7"/>
    </w:p>
    <w:p>
      <w:pPr>
        <w:pStyle w:val="4"/>
        <w:spacing w:line="240" w:lineRule="auto"/>
        <w:ind w:left="420"/>
        <w:jc w:val="center"/>
        <w:rPr>
          <w:rFonts w:asciiTheme="majorEastAsia" w:hAnsiTheme="majorEastAsia"/>
          <w:sz w:val="30"/>
          <w:szCs w:val="30"/>
        </w:rPr>
      </w:pPr>
      <w:bookmarkStart w:id="8" w:name="_Toc57128627"/>
      <w:bookmarkStart w:id="9" w:name="_Toc435514852"/>
      <w:bookmarkStart w:id="10" w:name="_Toc435515292"/>
      <w:bookmarkStart w:id="11" w:name="_Toc8080"/>
      <w:r>
        <w:rPr>
          <w:rFonts w:hint="eastAsia" w:asciiTheme="majorEastAsia" w:hAnsiTheme="majorEastAsia"/>
          <w:sz w:val="30"/>
          <w:szCs w:val="30"/>
        </w:rPr>
        <w:t>响应文件包装封面参考</w:t>
      </w:r>
      <w:bookmarkEnd w:id="8"/>
      <w:bookmarkEnd w:id="9"/>
      <w:bookmarkEnd w:id="10"/>
      <w:bookmarkEnd w:id="11"/>
    </w:p>
    <w:p>
      <w:pPr>
        <w:spacing w:line="580" w:lineRule="exact"/>
        <w:rPr>
          <w:rFonts w:ascii="方正小标宋简体" w:hAnsi="方正小标宋简体" w:eastAsia="方正小标宋简体" w:cs="方正小标宋简体"/>
          <w:kern w:val="0"/>
          <w:sz w:val="44"/>
          <w:szCs w:val="36"/>
        </w:rPr>
      </w:pPr>
    </w:p>
    <w:tbl>
      <w:tblPr>
        <w:tblStyle w:val="2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97" w:hRule="atLeast"/>
        </w:trPr>
        <w:tc>
          <w:tcPr>
            <w:tcW w:w="9018" w:type="dxa"/>
          </w:tcPr>
          <w:p>
            <w:pPr>
              <w:pStyle w:val="10"/>
              <w:spacing w:line="360" w:lineRule="auto"/>
              <w:ind w:firstLine="482" w:firstLineChars="150"/>
              <w:rPr>
                <w:rFonts w:ascii="宋体" w:hAnsi="宋体" w:cs="宋体"/>
                <w:b/>
                <w:sz w:val="32"/>
              </w:rPr>
            </w:pPr>
          </w:p>
          <w:p>
            <w:pPr>
              <w:pStyle w:val="10"/>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0"/>
              <w:spacing w:line="360" w:lineRule="auto"/>
              <w:rPr>
                <w:rFonts w:ascii="宋体" w:hAnsi="宋体" w:cs="宋体"/>
                <w:b/>
                <w:sz w:val="32"/>
              </w:rPr>
            </w:pP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0"/>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4"/>
        <w:numPr>
          <w:ilvl w:val="0"/>
          <w:numId w:val="13"/>
        </w:numPr>
        <w:spacing w:line="240" w:lineRule="auto"/>
        <w:jc w:val="center"/>
        <w:rPr>
          <w:rFonts w:ascii="宋体" w:hAnsi="宋体" w:eastAsia="宋体" w:cs="宋体"/>
        </w:rPr>
      </w:pPr>
      <w:bookmarkStart w:id="12" w:name="_Toc57128628"/>
      <w:r>
        <w:rPr>
          <w:rFonts w:hint="eastAsia" w:ascii="宋体" w:hAnsi="宋体" w:eastAsia="宋体" w:cs="宋体"/>
        </w:rPr>
        <w:t>营业执照等资质文件</w:t>
      </w:r>
      <w:bookmarkEnd w:id="12"/>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pStyle w:val="4"/>
        <w:spacing w:line="240" w:lineRule="auto"/>
        <w:ind w:firstLine="1890" w:firstLineChars="900"/>
        <w:rPr>
          <w:rFonts w:ascii="宋体" w:hAnsi="宋体" w:eastAsia="宋体" w:cs="宋体"/>
        </w:rPr>
      </w:pPr>
      <w:bookmarkStart w:id="13" w:name="_Toc57128637"/>
      <w:r>
        <w:rPr>
          <w:rFonts w:hint="eastAsia" w:ascii="宋体" w:hAnsi="宋体" w:eastAsia="宋体" w:cs="宋体"/>
        </w:rPr>
        <w:t>（二）法定代表人证明书</w:t>
      </w:r>
      <w:bookmarkEnd w:id="13"/>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3"/>
        <w:spacing w:line="400" w:lineRule="exact"/>
        <w:jc w:val="left"/>
        <w:rPr>
          <w:rFonts w:hAnsi="宋体" w:eastAsia="宋体" w:cs="宋体"/>
          <w:b/>
          <w:sz w:val="24"/>
          <w:szCs w:val="24"/>
        </w:rPr>
      </w:pPr>
    </w:p>
    <w:p>
      <w:pPr>
        <w:pStyle w:val="13"/>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pPr>
        <w:pStyle w:val="13"/>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4"/>
        <w:numPr>
          <w:ilvl w:val="0"/>
          <w:numId w:val="14"/>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4" w:name="_Toc57128629"/>
      <w:r>
        <w:rPr>
          <w:rFonts w:hint="eastAsia" w:ascii="宋体" w:hAnsi="宋体" w:eastAsia="宋体" w:cs="宋体"/>
          <w:sz w:val="32"/>
          <w:szCs w:val="32"/>
        </w:rPr>
        <w:t>开标一览表</w:t>
      </w:r>
      <w:bookmarkEnd w:id="14"/>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4"/>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2"/>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5"/>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p>
      <w:pPr>
        <w:pStyle w:val="10"/>
        <w:rPr>
          <w:rFonts w:hint="eastAsia"/>
          <w:b/>
          <w:lang w:val="en-US" w:eastAsia="zh-CN"/>
        </w:rPr>
      </w:pPr>
      <w:r>
        <w:rPr>
          <w:rFonts w:hint="eastAsia"/>
          <w:b/>
          <w:lang w:val="en-US" w:eastAsia="zh-CN"/>
        </w:rPr>
        <w:t>1、设备报价表</w:t>
      </w:r>
    </w:p>
    <w:tbl>
      <w:tblPr>
        <w:tblStyle w:val="23"/>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w:t>
      </w:r>
      <w:r>
        <w:rPr>
          <w:rFonts w:hint="eastAsia" w:ascii="宋体" w:hAnsi="宋体" w:cs="宋体"/>
          <w:b/>
          <w:bCs/>
          <w:color w:val="FF0000"/>
          <w:lang w:eastAsia="zh-CN"/>
        </w:rPr>
        <w:t>交</w:t>
      </w:r>
      <w:r>
        <w:rPr>
          <w:rFonts w:hint="eastAsia" w:ascii="宋体" w:hAnsi="宋体" w:cs="宋体"/>
          <w:b/>
          <w:bCs/>
          <w:color w:val="FF0000"/>
        </w:rPr>
        <w:t>递，一份为纸质报价表装订在标书内。</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0"/>
        <w:rPr>
          <w:b/>
          <w:szCs w:val="21"/>
        </w:rPr>
      </w:pPr>
      <w:r>
        <w:rPr>
          <w:rFonts w:hint="eastAsia"/>
          <w:b/>
        </w:rPr>
        <w:t>2、</w:t>
      </w:r>
      <w:r>
        <w:rPr>
          <w:rFonts w:hint="eastAsia"/>
          <w:b/>
          <w:highlight w:val="yellow"/>
        </w:rPr>
        <w:t>全自动前处理系统</w:t>
      </w:r>
      <w:r>
        <w:rPr>
          <w:rFonts w:hint="eastAsia"/>
          <w:b/>
          <w:highlight w:val="yellow"/>
          <w:lang w:eastAsia="zh-CN"/>
        </w:rPr>
        <w:t>、</w:t>
      </w:r>
      <w:r>
        <w:rPr>
          <w:rFonts w:hint="eastAsia"/>
          <w:b/>
          <w:highlight w:val="yellow"/>
        </w:rPr>
        <w:t>全自动化学发光过敏原定量检测分析仪</w:t>
      </w:r>
      <w:r>
        <w:rPr>
          <w:rFonts w:hint="eastAsia"/>
          <w:b/>
          <w:highlight w:val="yellow"/>
          <w:lang w:eastAsia="zh-CN"/>
        </w:rPr>
        <w:t>、</w:t>
      </w:r>
      <w:r>
        <w:rPr>
          <w:rFonts w:hint="eastAsia"/>
          <w:b/>
          <w:highlight w:val="yellow"/>
        </w:rPr>
        <w:t>荧光免疫定量分析仪</w:t>
      </w:r>
      <w:r>
        <w:rPr>
          <w:rFonts w:hint="eastAsia"/>
          <w:b/>
          <w:highlight w:val="yellow"/>
          <w:lang w:val="en-US" w:eastAsia="zh-CN"/>
        </w:rPr>
        <w:t>项目</w:t>
      </w:r>
      <w:r>
        <w:rPr>
          <w:rFonts w:hint="eastAsia"/>
          <w:b/>
        </w:rPr>
        <w:t>配套耗材初步报价表（</w:t>
      </w:r>
      <w:r>
        <w:rPr>
          <w:rFonts w:hint="eastAsia"/>
          <w:b/>
          <w:lang w:eastAsia="zh-CN"/>
        </w:rPr>
        <w:t>根据所属项目，对应耗材择一填写</w:t>
      </w:r>
      <w:r>
        <w:rPr>
          <w:rFonts w:hint="eastAsia"/>
          <w:b/>
        </w:rPr>
        <w:t>）：</w:t>
      </w:r>
    </w:p>
    <w:tbl>
      <w:tblPr>
        <w:tblStyle w:val="23"/>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9"/>
        <w:gridCol w:w="401"/>
        <w:gridCol w:w="474"/>
        <w:gridCol w:w="601"/>
        <w:gridCol w:w="493"/>
        <w:gridCol w:w="513"/>
        <w:gridCol w:w="465"/>
        <w:gridCol w:w="739"/>
        <w:gridCol w:w="824"/>
        <w:gridCol w:w="688"/>
        <w:gridCol w:w="765"/>
        <w:gridCol w:w="615"/>
        <w:gridCol w:w="479"/>
        <w:gridCol w:w="702"/>
        <w:gridCol w:w="615"/>
        <w:gridCol w:w="643"/>
        <w:gridCol w:w="544"/>
        <w:gridCol w:w="745"/>
        <w:gridCol w:w="150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0"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33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1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167"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1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17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16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6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9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70"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三级医院近一年内使用价格（元）</w:t>
            </w:r>
          </w:p>
        </w:tc>
        <w:tc>
          <w:tcPr>
            <w:tcW w:w="263"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报价</w:t>
            </w:r>
          </w:p>
        </w:tc>
        <w:tc>
          <w:tcPr>
            <w:tcW w:w="52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tc>
        <w:tc>
          <w:tcPr>
            <w:tcW w:w="28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0" w:type="pct"/>
            <w:vMerge w:val="continue"/>
            <w:vAlign w:val="center"/>
          </w:tcPr>
          <w:p>
            <w:pPr>
              <w:widowControl/>
              <w:jc w:val="left"/>
              <w:rPr>
                <w:rFonts w:ascii="宋体" w:hAnsi="宋体" w:cs="宋体"/>
                <w:b/>
                <w:color w:val="000000"/>
                <w:kern w:val="0"/>
                <w:szCs w:val="21"/>
              </w:rPr>
            </w:pPr>
          </w:p>
        </w:tc>
        <w:tc>
          <w:tcPr>
            <w:tcW w:w="331" w:type="pct"/>
            <w:vMerge w:val="continue"/>
            <w:vAlign w:val="center"/>
          </w:tcPr>
          <w:p>
            <w:pPr>
              <w:widowControl/>
              <w:jc w:val="left"/>
              <w:rPr>
                <w:rFonts w:ascii="宋体" w:hAnsi="宋体" w:cs="宋体"/>
                <w:b/>
                <w:bCs/>
                <w:kern w:val="0"/>
                <w:szCs w:val="21"/>
              </w:rPr>
            </w:pPr>
          </w:p>
        </w:tc>
        <w:tc>
          <w:tcPr>
            <w:tcW w:w="141" w:type="pct"/>
            <w:vMerge w:val="continue"/>
            <w:vAlign w:val="center"/>
          </w:tcPr>
          <w:p>
            <w:pPr>
              <w:widowControl/>
              <w:jc w:val="left"/>
              <w:rPr>
                <w:rFonts w:ascii="宋体" w:hAnsi="宋体" w:cs="宋体"/>
                <w:b/>
                <w:bCs/>
                <w:kern w:val="0"/>
                <w:szCs w:val="21"/>
              </w:rPr>
            </w:pPr>
          </w:p>
        </w:tc>
        <w:tc>
          <w:tcPr>
            <w:tcW w:w="167" w:type="pct"/>
            <w:vMerge w:val="continue"/>
            <w:vAlign w:val="center"/>
          </w:tcPr>
          <w:p>
            <w:pPr>
              <w:widowControl/>
              <w:jc w:val="left"/>
              <w:rPr>
                <w:rFonts w:ascii="宋体" w:hAnsi="宋体" w:cs="宋体"/>
                <w:b/>
                <w:bCs/>
                <w:kern w:val="0"/>
                <w:szCs w:val="21"/>
              </w:rPr>
            </w:pPr>
          </w:p>
        </w:tc>
        <w:tc>
          <w:tcPr>
            <w:tcW w:w="212" w:type="pct"/>
            <w:vMerge w:val="continue"/>
            <w:vAlign w:val="center"/>
          </w:tcPr>
          <w:p>
            <w:pPr>
              <w:widowControl/>
              <w:jc w:val="left"/>
              <w:rPr>
                <w:rFonts w:ascii="宋体" w:hAnsi="宋体" w:cs="宋体"/>
                <w:b/>
                <w:bCs/>
                <w:kern w:val="0"/>
                <w:szCs w:val="21"/>
              </w:rPr>
            </w:pPr>
          </w:p>
        </w:tc>
        <w:tc>
          <w:tcPr>
            <w:tcW w:w="174"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164" w:type="pct"/>
            <w:vMerge w:val="continue"/>
            <w:vAlign w:val="center"/>
          </w:tcPr>
          <w:p>
            <w:pPr>
              <w:widowControl/>
              <w:jc w:val="left"/>
              <w:rPr>
                <w:rFonts w:ascii="宋体" w:hAnsi="宋体" w:cs="宋体"/>
                <w:b/>
                <w:bCs/>
                <w:kern w:val="0"/>
                <w:szCs w:val="21"/>
              </w:rPr>
            </w:pPr>
          </w:p>
        </w:tc>
        <w:tc>
          <w:tcPr>
            <w:tcW w:w="260" w:type="pct"/>
            <w:vMerge w:val="continue"/>
            <w:vAlign w:val="center"/>
          </w:tcPr>
          <w:p>
            <w:pPr>
              <w:widowControl/>
              <w:jc w:val="left"/>
              <w:rPr>
                <w:rFonts w:ascii="宋体" w:hAnsi="宋体" w:cs="宋体"/>
                <w:b/>
                <w:bCs/>
                <w:kern w:val="0"/>
                <w:szCs w:val="21"/>
              </w:rPr>
            </w:pPr>
          </w:p>
        </w:tc>
        <w:tc>
          <w:tcPr>
            <w:tcW w:w="290" w:type="pct"/>
            <w:vMerge w:val="continue"/>
            <w:vAlign w:val="center"/>
          </w:tcPr>
          <w:p>
            <w:pPr>
              <w:widowControl/>
              <w:jc w:val="left"/>
              <w:rPr>
                <w:rFonts w:ascii="宋体" w:hAnsi="宋体" w:cs="宋体"/>
                <w:b/>
                <w:bCs/>
                <w:kern w:val="0"/>
                <w:szCs w:val="21"/>
              </w:rPr>
            </w:pPr>
          </w:p>
        </w:tc>
        <w:tc>
          <w:tcPr>
            <w:tcW w:w="242"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6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26"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92"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63" w:type="pct"/>
            <w:vAlign w:val="center"/>
          </w:tcPr>
          <w:p>
            <w:pPr>
              <w:widowControl/>
              <w:jc w:val="left"/>
              <w:rPr>
                <w:rFonts w:ascii="宋体" w:hAnsi="宋体" w:cs="宋体"/>
                <w:b/>
                <w:color w:val="000000"/>
                <w:kern w:val="0"/>
                <w:szCs w:val="21"/>
              </w:rPr>
            </w:pPr>
          </w:p>
        </w:tc>
        <w:tc>
          <w:tcPr>
            <w:tcW w:w="529"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c>
          <w:tcPr>
            <w:tcW w:w="289" w:type="pct"/>
            <w:vAlign w:val="center"/>
          </w:tcPr>
          <w:p>
            <w:pPr>
              <w:widowControl/>
              <w:jc w:val="left"/>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331" w:type="pct"/>
            <w:shd w:val="clear" w:color="000000" w:fill="FFFFFF"/>
            <w:vAlign w:val="center"/>
          </w:tcPr>
          <w:p>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7"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7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4"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17"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6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9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eastAsia"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2</w:t>
            </w:r>
          </w:p>
        </w:tc>
        <w:tc>
          <w:tcPr>
            <w:tcW w:w="331" w:type="pct"/>
            <w:shd w:val="clear" w:color="000000" w:fill="FFFFFF"/>
            <w:vAlign w:val="center"/>
          </w:tcPr>
          <w:p>
            <w:pPr>
              <w:widowControl/>
              <w:spacing w:line="276" w:lineRule="auto"/>
              <w:jc w:val="center"/>
              <w:rPr>
                <w:rFonts w:hint="eastAsia" w:ascii="宋体" w:hAnsi="宋体" w:cs="宋体" w:eastAsiaTheme="minorEastAsia"/>
                <w:color w:val="FF0000"/>
                <w:kern w:val="0"/>
                <w:sz w:val="20"/>
                <w:szCs w:val="20"/>
                <w:lang w:eastAsia="zh-CN"/>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3</w:t>
            </w:r>
          </w:p>
        </w:tc>
        <w:tc>
          <w:tcPr>
            <w:tcW w:w="331" w:type="pct"/>
            <w:shd w:val="clear" w:color="000000" w:fill="FFFFFF"/>
            <w:vAlign w:val="center"/>
          </w:tcPr>
          <w:p>
            <w:pPr>
              <w:widowControl/>
              <w:spacing w:line="276" w:lineRule="auto"/>
              <w:jc w:val="center"/>
              <w:rPr>
                <w:rFonts w:hint="eastAsia" w:ascii="宋体" w:hAnsi="宋体" w:cs="宋体"/>
                <w:color w:val="FF0000"/>
                <w:kern w:val="0"/>
                <w:sz w:val="20"/>
                <w:szCs w:val="20"/>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议价现场其他承诺：</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使用科室代表现场确认：</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b/>
          <w:bCs/>
          <w:color w:val="FF0000"/>
        </w:rPr>
      </w:pPr>
      <w:r>
        <w:rPr>
          <w:rFonts w:hint="eastAsia" w:ascii="宋体" w:hAnsi="宋体" w:cs="宋体"/>
          <w:b/>
          <w:bCs/>
          <w:color w:val="FF0000"/>
        </w:rPr>
        <w:t>注：1.承诺所有投标产品为全国最低价，需按最终报价在深圳市阳光平台执行线上采购，如不执行，采购方有权单方解除采购协议。</w:t>
      </w:r>
    </w:p>
    <w:p>
      <w:pPr>
        <w:tabs>
          <w:tab w:val="left" w:pos="360"/>
          <w:tab w:val="left" w:pos="840"/>
        </w:tabs>
        <w:snapToGrid w:val="0"/>
        <w:spacing w:line="360" w:lineRule="auto"/>
        <w:ind w:firstLine="413" w:firstLineChars="196"/>
        <w:rPr>
          <w:rFonts w:ascii="宋体" w:hAnsi="宋体" w:cs="宋体"/>
          <w:b/>
          <w:bCs/>
          <w:color w:val="FF0000"/>
        </w:rPr>
      </w:pPr>
      <w:r>
        <w:rPr>
          <w:rFonts w:hint="eastAsia" w:ascii="宋体" w:hAnsi="宋体" w:cs="宋体"/>
          <w:b/>
          <w:bCs/>
          <w:color w:val="FF0000"/>
        </w:rPr>
        <w:t>2.最终报价表需做双份，一份为开标一览表单独密封投递，一份为纸质报价表装订在标书内。</w:t>
      </w:r>
    </w:p>
    <w:p>
      <w:pPr>
        <w:pStyle w:val="10"/>
      </w:pPr>
      <w:r>
        <w:rPr>
          <w:rFonts w:hint="eastAsia" w:ascii="宋体" w:hAnsi="宋体" w:cs="宋体"/>
          <w:b/>
          <w:bCs/>
          <w:sz w:val="24"/>
        </w:rPr>
        <w:t>议价单位名称：</w:t>
      </w:r>
    </w:p>
    <w:p>
      <w:pPr>
        <w:spacing w:line="360" w:lineRule="auto"/>
        <w:rPr>
          <w:rFonts w:hint="eastAsia" w:ascii="宋体" w:hAnsi="宋体" w:cs="宋体"/>
          <w:b/>
          <w:sz w:val="24"/>
        </w:rPr>
        <w:sectPr>
          <w:pgSz w:w="16838" w:h="11906" w:orient="landscape"/>
          <w:pgMar w:top="1440" w:right="1440" w:bottom="1286" w:left="1440" w:header="851" w:footer="992" w:gutter="0"/>
          <w:cols w:space="720" w:num="1"/>
          <w:docGrid w:type="lines" w:linePitch="312" w:charSpace="0"/>
        </w:sectPr>
      </w:pPr>
      <w:r>
        <w:rPr>
          <w:rFonts w:hint="eastAsia" w:ascii="宋体" w:hAnsi="宋体" w:cs="宋体"/>
          <w:b/>
          <w:bCs/>
          <w:sz w:val="24"/>
        </w:rPr>
        <w:t>日期：年月日</w:t>
      </w:r>
      <w:r>
        <w:rPr>
          <w:rFonts w:hint="eastAsia" w:ascii="宋体" w:hAnsi="宋体" w:cs="宋体"/>
          <w:b/>
          <w:sz w:val="24"/>
        </w:rPr>
        <w:t>（此处加盖议价单位公章）</w:t>
      </w:r>
    </w:p>
    <w:p>
      <w:pPr>
        <w:spacing w:line="360" w:lineRule="auto"/>
        <w:rPr>
          <w:rFonts w:ascii="宋体" w:hAnsi="宋体" w:cs="宋体"/>
          <w:b/>
          <w:bCs/>
          <w:sz w:val="24"/>
        </w:rPr>
      </w:pPr>
    </w:p>
    <w:p>
      <w:pPr>
        <w:pStyle w:val="4"/>
        <w:spacing w:line="240" w:lineRule="auto"/>
        <w:ind w:firstLine="2880" w:firstLineChars="900"/>
        <w:jc w:val="left"/>
        <w:rPr>
          <w:rFonts w:hint="eastAsia" w:ascii="宋体" w:hAnsi="宋体" w:eastAsia="宋体" w:cs="宋体"/>
          <w:sz w:val="32"/>
          <w:szCs w:val="32"/>
          <w:lang w:eastAsia="zh-CN"/>
        </w:rPr>
      </w:pPr>
      <w:bookmarkStart w:id="15" w:name="_Toc6350"/>
      <w:bookmarkStart w:id="16" w:name="_Toc275865611"/>
      <w:bookmarkStart w:id="17" w:name="_Toc57128630"/>
      <w:bookmarkStart w:id="18" w:name="_Toc435515306"/>
      <w:bookmarkStart w:id="19" w:name="_Toc192662843"/>
      <w:bookmarkStart w:id="20" w:name="_Toc435514866"/>
      <w:r>
        <w:rPr>
          <w:rFonts w:hint="eastAsia" w:ascii="宋体" w:hAnsi="宋体" w:eastAsia="宋体" w:cs="宋体"/>
          <w:sz w:val="32"/>
          <w:szCs w:val="32"/>
        </w:rPr>
        <w:t>（五）</w:t>
      </w:r>
      <w:bookmarkEnd w:id="15"/>
      <w:bookmarkEnd w:id="16"/>
      <w:bookmarkEnd w:id="17"/>
      <w:bookmarkEnd w:id="18"/>
      <w:bookmarkEnd w:id="19"/>
      <w:bookmarkEnd w:id="20"/>
      <w:r>
        <w:rPr>
          <w:rFonts w:hint="eastAsia" w:ascii="宋体" w:hAnsi="宋体" w:eastAsia="宋体" w:cs="宋体"/>
          <w:sz w:val="32"/>
          <w:szCs w:val="32"/>
          <w:lang w:eastAsia="zh-CN"/>
        </w:rPr>
        <w:t>设备生命周期维护成本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2、零配件、消耗品初步报价明细清单</w:t>
      </w:r>
      <w:r>
        <w:rPr>
          <w:rFonts w:hint="eastAsia" w:ascii="宋体" w:hAnsi="宋体"/>
          <w:bCs/>
          <w:sz w:val="28"/>
        </w:rPr>
        <w:t>（该部分报价不包括在预算总价内）</w:t>
      </w:r>
    </w:p>
    <w:p>
      <w:pPr>
        <w:pStyle w:val="10"/>
        <w:rPr>
          <w:rFonts w:hint="eastAsia" w:eastAsiaTheme="majorEastAsia"/>
          <w:lang w:eastAsia="zh-CN"/>
        </w:rPr>
      </w:pPr>
      <w:r>
        <w:rPr>
          <w:rFonts w:hint="eastAsia" w:ascii="宋体" w:hAnsi="宋体" w:cs="Times New Roman" w:eastAsiaTheme="minorEastAsia"/>
          <w:b/>
          <w:kern w:val="2"/>
          <w:sz w:val="24"/>
          <w:szCs w:val="21"/>
          <w:lang w:val="en-US" w:eastAsia="zh-CN" w:bidi="ar-SA"/>
        </w:rPr>
        <w:t>（1）深层肌肉刺激仪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治疗头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2</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全自动前处理系统</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center"/>
          </w:tcPr>
          <w:p>
            <w:pPr>
              <w:autoSpaceDE w:val="0"/>
              <w:autoSpaceDN w:val="0"/>
              <w:jc w:val="center"/>
              <w:rPr>
                <w:rFonts w:hint="eastAsia" w:cs="方正小标宋简体" w:asciiTheme="majorEastAsia" w:hAnsiTheme="majorEastAsia" w:eastAsiaTheme="majorEastAsia"/>
                <w:sz w:val="24"/>
              </w:rPr>
            </w:pPr>
            <w:r>
              <w:rPr>
                <w:rFonts w:hint="eastAsia" w:ascii="宋体" w:hAnsi="宋体" w:cs="宋体"/>
                <w:szCs w:val="21"/>
              </w:rPr>
              <w:t>横梁臂模组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center"/>
          </w:tcPr>
          <w:p>
            <w:pPr>
              <w:autoSpaceDE w:val="0"/>
              <w:autoSpaceDN w:val="0"/>
              <w:jc w:val="center"/>
              <w:rPr>
                <w:rFonts w:hint="eastAsia" w:cs="方正小标宋简体" w:asciiTheme="majorEastAsia" w:hAnsiTheme="majorEastAsia" w:eastAsiaTheme="majorEastAsia"/>
                <w:sz w:val="24"/>
              </w:rPr>
            </w:pPr>
            <w:r>
              <w:rPr>
                <w:rFonts w:hint="eastAsia" w:ascii="宋体" w:hAnsi="宋体" w:cs="宋体"/>
                <w:szCs w:val="21"/>
              </w:rPr>
              <w:t>机架模组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载架模组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孵育模组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外壳模组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洗板模组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7</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外置洗站模组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8</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配置模组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numPr>
          <w:ilvl w:val="0"/>
          <w:numId w:val="0"/>
        </w:numPr>
        <w:rPr>
          <w:rFonts w:hint="eastAsia"/>
          <w:lang w:eastAsia="zh-CN"/>
        </w:rPr>
      </w:pPr>
    </w:p>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3</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全自动化学发光过敏原定量检测分析仪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触摸显示屏电脑</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2</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手持扫码器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3</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外接水套件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4</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CSR制冷剂</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5</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USB数据线</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sz w:val="24"/>
          <w:lang w:val="en-US" w:eastAsia="zh-CN"/>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4"/>
        <w:numPr>
          <w:ilvl w:val="0"/>
          <w:numId w:val="16"/>
        </w:numPr>
        <w:spacing w:line="240" w:lineRule="auto"/>
        <w:jc w:val="center"/>
        <w:rPr>
          <w:rStyle w:val="28"/>
          <w:rFonts w:hint="eastAsia" w:ascii="宋体" w:hAnsi="宋体" w:eastAsia="宋体" w:cs="宋体"/>
          <w:color w:val="auto"/>
          <w:sz w:val="32"/>
          <w:szCs w:val="32"/>
        </w:rPr>
      </w:pPr>
      <w:bookmarkStart w:id="21" w:name="_Toc435514855"/>
      <w:bookmarkStart w:id="22" w:name="_Toc57128632"/>
      <w:bookmarkStart w:id="23" w:name="_Toc435515295"/>
      <w:bookmarkStart w:id="24" w:name="_Toc275865606"/>
      <w:bookmarkStart w:id="25" w:name="_Toc24650"/>
      <w:r>
        <w:rPr>
          <w:rStyle w:val="28"/>
          <w:rFonts w:hint="eastAsia" w:ascii="宋体" w:hAnsi="宋体" w:eastAsia="宋体" w:cs="宋体"/>
          <w:color w:val="auto"/>
          <w:sz w:val="32"/>
          <w:szCs w:val="32"/>
        </w:rPr>
        <w:t>参数条款响应一览表</w:t>
      </w:r>
    </w:p>
    <w:p>
      <w:pPr>
        <w:pStyle w:val="6"/>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说明：议价必须对应招标文件条款逐条应答并按要求填写下表。</w:t>
      </w:r>
    </w:p>
    <w:tbl>
      <w:tblPr>
        <w:tblStyle w:val="23"/>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7" w:hRule="atLeast"/>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其他参数</w:t>
            </w:r>
            <w:r>
              <w:rPr>
                <w:rFonts w:hint="eastAsia" w:asciiTheme="minorEastAsia" w:hAnsiTheme="minorEastAsia"/>
                <w:szCs w:val="21"/>
              </w:rPr>
              <w:t>条款</w:t>
            </w:r>
            <w:r>
              <w:rPr>
                <w:rFonts w:hint="eastAsia" w:asciiTheme="minorEastAsia" w:hAnsiTheme="minorEastAsia"/>
                <w:szCs w:val="21"/>
                <w:lang w:eastAsia="zh-CN"/>
              </w:rPr>
              <w:t>响应列表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3"/>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（1）深层肌肉刺激仪项目：合同签订后并接甲方通知_10_日历日内。</w:t>
            </w:r>
          </w:p>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（2）全自动前处理系统项目：合同签订后并接采购人通知_30_日历日内。</w:t>
            </w:r>
          </w:p>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（3）全自动化学发光过敏原定量检测分析仪项目：同签订后并接甲方通知60日历日内；</w:t>
            </w:r>
          </w:p>
          <w:p>
            <w:pP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（4）荧光免疫定量分析仪：合同签订后并接甲方通知_3_日历日内</w:t>
            </w:r>
            <w:r>
              <w:rPr>
                <w:rFonts w:hint="eastAsia" w:cs="Times New Roman"/>
                <w:kern w:val="2"/>
                <w:sz w:val="21"/>
                <w:szCs w:val="24"/>
                <w:highlight w:val="yellow"/>
                <w:lang w:val="en-US" w:eastAsia="zh-CN" w:bidi="ar-SA"/>
              </w:rPr>
              <w:t>。</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lang w:val="en-US"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val="en-US" w:eastAsia="zh-CN"/>
              </w:rPr>
              <w:t>甲方</w:t>
            </w:r>
            <w:r>
              <w:rPr>
                <w:rFonts w:hint="eastAsia" w:asciiTheme="minorEastAsia" w:hAnsiTheme="minorEastAsia" w:cstheme="minorEastAsia"/>
                <w:szCs w:val="21"/>
              </w:rPr>
              <w:t>支付合同总价5%的履约保证金，用于补偿</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因</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不履行/不妥善履行合同约定义务而蒙受的损失，如</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不履行/不妥善履行合同约定义务的，</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有权直接从履约保证金中扣除相应违约金/损失赔偿款项。如果在</w:t>
            </w:r>
            <w:r>
              <w:rPr>
                <w:rFonts w:hint="eastAsia"/>
              </w:rPr>
              <w:t>合同签订后至</w:t>
            </w:r>
            <w:r>
              <w:rPr>
                <w:rFonts w:hint="eastAsia"/>
                <w:lang w:eastAsia="zh-CN"/>
              </w:rPr>
              <w:t>乙方</w:t>
            </w:r>
            <w:r>
              <w:rPr>
                <w:rFonts w:hint="eastAsia"/>
              </w:rPr>
              <w:t>履行完毕合同约定的义务事项之</w:t>
            </w:r>
            <w:r>
              <w:rPr>
                <w:rFonts w:hint="eastAsia" w:asciiTheme="minorEastAsia" w:hAnsiTheme="minorEastAsia" w:cstheme="minorEastAsia"/>
                <w:szCs w:val="21"/>
              </w:rPr>
              <w:t>内未发生</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不履行或不妥善履行合同约定义务的情况，在</w:t>
            </w:r>
            <w:r>
              <w:rPr>
                <w:rFonts w:hint="eastAsia"/>
                <w:lang w:eastAsia="zh-CN"/>
              </w:rPr>
              <w:t>乙方</w:t>
            </w:r>
            <w:r>
              <w:rPr>
                <w:rFonts w:hint="eastAsia"/>
              </w:rPr>
              <w:t>履行完毕合同约定的义务事项</w:t>
            </w:r>
            <w:r>
              <w:rPr>
                <w:rFonts w:hint="eastAsia" w:asciiTheme="minorEastAsia" w:hAnsiTheme="minorEastAsia" w:cstheme="minorEastAsia"/>
                <w:szCs w:val="21"/>
              </w:rPr>
              <w:t>后，</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提供完整资料到达</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财务之日起30日内，</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将履约保证金无息返还给</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1</w:t>
            </w: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深层肌肉刺激仪、全自动前处理系统、全自动化学发光过敏原定量检测分析仪项目</w:t>
            </w:r>
            <w:r>
              <w:rPr>
                <w:rFonts w:hint="eastAsia" w:asciiTheme="minorEastAsia" w:hAnsiTheme="minorEastAsia" w:eastAsiaTheme="minorEastAsia"/>
                <w:bCs/>
                <w:szCs w:val="21"/>
                <w:highlight w:val="yellow"/>
                <w:lang w:eastAsia="zh-CN"/>
              </w:rPr>
              <w:t xml:space="preserve">：免费原厂保修期 </w:t>
            </w:r>
            <w:r>
              <w:rPr>
                <w:rFonts w:hint="eastAsia" w:asciiTheme="minorEastAsia" w:hAnsiTheme="minorEastAsia" w:eastAsiaTheme="minorEastAsia"/>
                <w:bCs/>
                <w:szCs w:val="21"/>
                <w:highlight w:val="yellow"/>
                <w:lang w:val="en-US" w:eastAsia="zh-CN"/>
              </w:rPr>
              <w:t>3</w:t>
            </w:r>
            <w:r>
              <w:rPr>
                <w:rFonts w:hint="eastAsia" w:asciiTheme="minorEastAsia" w:hAnsiTheme="minorEastAsia" w:eastAsiaTheme="minorEastAsia"/>
                <w:bCs/>
                <w:szCs w:val="21"/>
                <w:highlight w:val="yellow"/>
                <w:lang w:eastAsia="zh-CN"/>
              </w:rPr>
              <w:t xml:space="preserve"> 年；</w:t>
            </w:r>
          </w:p>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2</w:t>
            </w: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荧光免疫定量分析仪项目：</w:t>
            </w:r>
            <w:r>
              <w:rPr>
                <w:rFonts w:hint="eastAsia" w:asciiTheme="minorEastAsia" w:hAnsiTheme="minorEastAsia" w:eastAsiaTheme="minorEastAsia"/>
                <w:bCs/>
                <w:szCs w:val="21"/>
                <w:highlight w:val="yellow"/>
                <w:lang w:eastAsia="zh-CN"/>
              </w:rPr>
              <w:t>免费原厂</w:t>
            </w:r>
            <w:r>
              <w:rPr>
                <w:rFonts w:hint="eastAsia" w:asciiTheme="minorEastAsia" w:hAnsiTheme="minorEastAsia" w:eastAsiaTheme="minorEastAsia"/>
                <w:bCs/>
                <w:szCs w:val="21"/>
                <w:highlight w:val="yellow"/>
              </w:rPr>
              <w:t>终身</w:t>
            </w:r>
            <w:r>
              <w:rPr>
                <w:rFonts w:hint="eastAsia" w:asciiTheme="minorEastAsia" w:hAnsiTheme="minorEastAsia" w:eastAsiaTheme="minorEastAsia"/>
                <w:bCs/>
                <w:szCs w:val="21"/>
                <w:highlight w:val="yellow"/>
                <w:lang w:val="en-US" w:eastAsia="zh-CN"/>
              </w:rPr>
              <w:t>维保</w:t>
            </w:r>
            <w:r>
              <w:rPr>
                <w:rFonts w:hint="eastAsia" w:asciiTheme="minorEastAsia" w:hAnsiTheme="minorEastAsia" w:eastAsiaTheme="minorEastAsia"/>
                <w:bCs/>
                <w:szCs w:val="21"/>
                <w:highlight w:val="yellow"/>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hint="eastAsia" w:ascii="宋体" w:hAnsi="宋体" w:eastAsia="宋体" w:cs="宋体"/>
          <w:b/>
          <w:bCs/>
          <w:color w:val="000000" w:themeColor="text1"/>
          <w:sz w:val="24"/>
        </w:rPr>
      </w:pPr>
    </w:p>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1"/>
    <w:bookmarkEnd w:id="22"/>
    <w:bookmarkEnd w:id="23"/>
    <w:bookmarkEnd w:id="24"/>
    <w:bookmarkEnd w:id="25"/>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7"/>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7"/>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7"/>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7"/>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7"/>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4"/>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（九）</w:t>
      </w:r>
      <w:r>
        <w:rPr>
          <w:rFonts w:hint="eastAsia" w:asciiTheme="majorEastAsia" w:hAnsiTheme="majorEastAsia"/>
          <w:sz w:val="32"/>
          <w:szCs w:val="32"/>
          <w:highlight w:val="yellow"/>
        </w:rPr>
        <w:t>中小企业声明函</w:t>
      </w:r>
    </w:p>
    <w:p>
      <w:pPr>
        <w:pStyle w:val="4"/>
        <w:numPr>
          <w:ilvl w:val="0"/>
          <w:numId w:val="0"/>
        </w:numPr>
        <w:spacing w:line="240" w:lineRule="auto"/>
        <w:jc w:val="both"/>
        <w:rPr>
          <w:rFonts w:hint="eastAsia" w:asciiTheme="majorEastAsia" w:hAnsiTheme="majorEastAsia"/>
          <w:highlight w:val="yellow"/>
        </w:rPr>
      </w:pPr>
      <w:r>
        <w:rPr>
          <w:rFonts w:hint="eastAsia" w:asciiTheme="majorEastAsia" w:hAnsiTheme="majorEastAsia"/>
          <w:highlight w:val="yellow"/>
          <w:lang w:eastAsia="zh-CN"/>
        </w:rPr>
        <w:t>注：</w:t>
      </w:r>
      <w:r>
        <w:rPr>
          <w:rFonts w:hint="eastAsia" w:asciiTheme="majorEastAsia" w:hAnsiTheme="majorEastAsia"/>
          <w:b/>
          <w:bCs/>
          <w:sz w:val="24"/>
          <w:szCs w:val="21"/>
          <w:highlight w:val="yellow"/>
          <w:lang w:eastAsia="zh-CN"/>
        </w:rPr>
        <w:t>符合条件</w:t>
      </w:r>
      <w:r>
        <w:rPr>
          <w:rFonts w:hint="eastAsia" w:asciiTheme="majorEastAsia" w:hAnsiTheme="majorEastAsia"/>
          <w:b/>
          <w:bCs/>
          <w:sz w:val="24"/>
          <w:szCs w:val="21"/>
          <w:highlight w:val="yellow"/>
          <w:lang w:val="en-US" w:eastAsia="zh-CN"/>
        </w:rPr>
        <w:t>的需</w:t>
      </w:r>
      <w:r>
        <w:rPr>
          <w:rFonts w:hint="eastAsia" w:asciiTheme="majorEastAsia" w:hAnsiTheme="majorEastAsia"/>
          <w:b/>
          <w:bCs/>
          <w:sz w:val="24"/>
          <w:szCs w:val="21"/>
          <w:highlight w:val="yellow"/>
          <w:lang w:eastAsia="zh-CN"/>
        </w:rPr>
        <w:t>提供。</w:t>
      </w:r>
    </w:p>
    <w:p>
      <w:pPr>
        <w:pStyle w:val="10"/>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6" w:name="_bookmark1"/>
      <w:bookmarkEnd w:id="26"/>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3"/>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27"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7"/>
    <w:p>
      <w:pPr>
        <w:pStyle w:val="10"/>
      </w:pPr>
    </w:p>
    <w:p>
      <w:pPr>
        <w:pStyle w:val="4"/>
        <w:numPr>
          <w:ilvl w:val="255"/>
          <w:numId w:val="0"/>
        </w:numPr>
        <w:spacing w:line="240" w:lineRule="auto"/>
        <w:jc w:val="center"/>
        <w:rPr>
          <w:rFonts w:ascii="宋体" w:hAnsi="宋体" w:eastAsia="宋体" w:cs="宋体"/>
          <w:szCs w:val="21"/>
        </w:rPr>
      </w:pPr>
      <w:bookmarkStart w:id="28"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4"/>
        <w:numPr>
          <w:ilvl w:val="255"/>
          <w:numId w:val="0"/>
        </w:numPr>
        <w:spacing w:line="240" w:lineRule="auto"/>
        <w:jc w:val="center"/>
        <w:rPr>
          <w:rFonts w:ascii="宋体" w:hAnsi="宋体" w:eastAsia="宋体" w:cs="宋体"/>
          <w:szCs w:val="21"/>
        </w:rPr>
      </w:pPr>
    </w:p>
    <w:p>
      <w:pPr>
        <w:pStyle w:val="4"/>
        <w:numPr>
          <w:ilvl w:val="255"/>
          <w:numId w:val="0"/>
        </w:numPr>
        <w:spacing w:line="240" w:lineRule="auto"/>
        <w:jc w:val="center"/>
        <w:rPr>
          <w:rFonts w:ascii="宋体" w:hAnsi="宋体" w:eastAsia="宋体" w:cs="宋体"/>
          <w:szCs w:val="21"/>
        </w:rPr>
      </w:pPr>
    </w:p>
    <w:p>
      <w:pPr>
        <w:pStyle w:val="6"/>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8"/>
    <w:p>
      <w:pPr>
        <w:pStyle w:val="4"/>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19"/>
        </w:numPr>
        <w:ind w:firstLine="321" w:firstLineChars="100"/>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3"/>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3"/>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3"/>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3"/>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3"/>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3"/>
        <w:spacing w:line="360" w:lineRule="auto"/>
        <w:ind w:firstLine="480"/>
        <w:rPr>
          <w:rFonts w:hAnsi="宋体"/>
          <w:sz w:val="24"/>
        </w:rPr>
      </w:pPr>
      <w:r>
        <w:rPr>
          <w:rFonts w:hint="eastAsia" w:hAnsi="宋体"/>
          <w:sz w:val="24"/>
        </w:rPr>
        <w:t>法定代表人</w:t>
      </w:r>
      <w:r>
        <w:rPr>
          <w:rFonts w:hAnsi="宋体"/>
          <w:sz w:val="24"/>
        </w:rPr>
        <w:t>:</w:t>
      </w:r>
    </w:p>
    <w:p>
      <w:pPr>
        <w:pStyle w:val="53"/>
        <w:ind w:firstLine="480" w:firstLineChars="200"/>
        <w:rPr>
          <w:rFonts w:ascii="宋体" w:hAnsi="宋体"/>
        </w:rPr>
      </w:pPr>
      <w:r>
        <w:rPr>
          <w:rFonts w:hint="eastAsia" w:ascii="宋体" w:hAnsi="宋体"/>
        </w:rPr>
        <w:t>地址：</w:t>
      </w:r>
    </w:p>
    <w:p>
      <w:pPr>
        <w:pStyle w:val="53"/>
        <w:ind w:firstLine="480" w:firstLineChars="200"/>
        <w:rPr>
          <w:rFonts w:ascii="宋体" w:hAnsi="宋体"/>
        </w:rPr>
      </w:pPr>
      <w:r>
        <w:rPr>
          <w:rFonts w:hint="eastAsia" w:ascii="宋体" w:hAnsi="宋体"/>
        </w:rPr>
        <w:t>统一社会信用代码：</w:t>
      </w:r>
    </w:p>
    <w:p>
      <w:pPr>
        <w:pStyle w:val="13"/>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37"/>
        <w:numPr>
          <w:ilvl w:val="0"/>
          <w:numId w:val="20"/>
        </w:numPr>
        <w:spacing w:line="360" w:lineRule="auto"/>
        <w:ind w:firstLineChars="0"/>
        <w:rPr>
          <w:rFonts w:ascii="宋体" w:hAnsi="宋体"/>
          <w:b/>
        </w:rPr>
      </w:pPr>
      <w:r>
        <w:rPr>
          <w:rFonts w:hint="eastAsia" w:ascii="宋体" w:hAnsi="宋体"/>
          <w:b/>
        </w:rPr>
        <w:t>合同设备要求</w:t>
      </w:r>
    </w:p>
    <w:p>
      <w:pPr>
        <w:pStyle w:val="37"/>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37"/>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3"/>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3"/>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7"/>
        <w:numPr>
          <w:ilvl w:val="0"/>
          <w:numId w:val="20"/>
        </w:numPr>
        <w:spacing w:line="360" w:lineRule="auto"/>
        <w:ind w:firstLineChars="0"/>
        <w:rPr>
          <w:rFonts w:ascii="宋体" w:hAnsi="宋体"/>
          <w:b/>
          <w:sz w:val="22"/>
          <w:szCs w:val="21"/>
        </w:rPr>
      </w:pPr>
      <w:r>
        <w:rPr>
          <w:rFonts w:hint="eastAsia" w:ascii="宋体" w:hAnsi="宋体"/>
          <w:b/>
          <w:sz w:val="22"/>
          <w:szCs w:val="21"/>
        </w:rPr>
        <w:t>合同总价</w:t>
      </w:r>
    </w:p>
    <w:p>
      <w:pPr>
        <w:pStyle w:val="37"/>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37"/>
        <w:numPr>
          <w:ilvl w:val="0"/>
          <w:numId w:val="20"/>
        </w:numPr>
        <w:spacing w:line="360" w:lineRule="auto"/>
        <w:ind w:firstLineChars="0"/>
        <w:rPr>
          <w:rFonts w:ascii="宋体" w:hAnsi="宋体"/>
          <w:b/>
        </w:rPr>
      </w:pPr>
      <w:r>
        <w:rPr>
          <w:rFonts w:hint="eastAsia" w:ascii="宋体" w:hAnsi="宋体"/>
          <w:b/>
          <w:szCs w:val="21"/>
        </w:rPr>
        <w:t>合同组成</w:t>
      </w:r>
    </w:p>
    <w:p>
      <w:pPr>
        <w:pStyle w:val="37"/>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7"/>
        <w:numPr>
          <w:ilvl w:val="0"/>
          <w:numId w:val="20"/>
        </w:numPr>
        <w:spacing w:line="360" w:lineRule="auto"/>
        <w:ind w:firstLineChars="0"/>
        <w:rPr>
          <w:rFonts w:ascii="宋体" w:hAnsi="宋体"/>
          <w:b/>
        </w:rPr>
      </w:pPr>
      <w:r>
        <w:rPr>
          <w:rFonts w:hint="eastAsia" w:ascii="宋体" w:hAnsi="宋体"/>
          <w:b/>
          <w:szCs w:val="21"/>
        </w:rPr>
        <w:t>技术要求</w:t>
      </w:r>
    </w:p>
    <w:p>
      <w:pPr>
        <w:pStyle w:val="37"/>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7"/>
        <w:numPr>
          <w:ilvl w:val="0"/>
          <w:numId w:val="20"/>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3"/>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7"/>
        <w:numPr>
          <w:ilvl w:val="0"/>
          <w:numId w:val="20"/>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hint="eastAsia" w:ascii="宋体" w:hAnsi="宋体"/>
          <w:b w:val="0"/>
          <w:bCs/>
          <w:szCs w:val="21"/>
          <w:highlight w:val="yellow"/>
        </w:rPr>
      </w:pPr>
      <w:r>
        <w:rPr>
          <w:rFonts w:hint="eastAsia" w:ascii="宋体" w:hAnsi="宋体"/>
          <w:b w:val="0"/>
          <w:bCs/>
          <w:szCs w:val="21"/>
          <w:highlight w:val="yellow"/>
          <w:lang w:val="en-US" w:eastAsia="zh-CN"/>
        </w:rPr>
        <w:t>乙方</w:t>
      </w:r>
      <w:r>
        <w:rPr>
          <w:rFonts w:hint="eastAsia" w:ascii="宋体" w:hAnsi="宋体"/>
          <w:b w:val="0"/>
          <w:bCs/>
          <w:szCs w:val="21"/>
          <w:highlight w:val="yellow"/>
        </w:rPr>
        <w:t>向</w:t>
      </w:r>
      <w:r>
        <w:rPr>
          <w:rFonts w:hint="eastAsia" w:ascii="宋体" w:hAnsi="宋体"/>
          <w:b w:val="0"/>
          <w:bCs/>
          <w:szCs w:val="21"/>
          <w:highlight w:val="yellow"/>
          <w:lang w:val="en-US" w:eastAsia="zh-CN"/>
        </w:rPr>
        <w:t>甲方</w:t>
      </w:r>
      <w:r>
        <w:rPr>
          <w:rFonts w:hint="eastAsia" w:ascii="宋体" w:hAnsi="宋体"/>
          <w:b w:val="0"/>
          <w:bCs/>
          <w:szCs w:val="21"/>
          <w:highlight w:val="yellow"/>
        </w:rPr>
        <w:t>支付合同总价5%的履约保证金，用于补偿</w:t>
      </w:r>
      <w:r>
        <w:rPr>
          <w:rFonts w:hint="eastAsia" w:ascii="宋体" w:hAnsi="宋体"/>
          <w:b w:val="0"/>
          <w:bCs/>
          <w:szCs w:val="21"/>
          <w:highlight w:val="yellow"/>
          <w:lang w:eastAsia="zh-CN"/>
        </w:rPr>
        <w:t>甲方</w:t>
      </w:r>
      <w:r>
        <w:rPr>
          <w:rFonts w:hint="eastAsia" w:ascii="宋体" w:hAnsi="宋体"/>
          <w:b w:val="0"/>
          <w:bCs/>
          <w:szCs w:val="21"/>
          <w:highlight w:val="yellow"/>
        </w:rPr>
        <w:t>因</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不履行/不妥善履行合同约定义务而蒙受的损失，如</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不履行/不妥善履行合同约定义务的，</w:t>
      </w:r>
      <w:r>
        <w:rPr>
          <w:rFonts w:hint="eastAsia" w:ascii="宋体" w:hAnsi="宋体"/>
          <w:b w:val="0"/>
          <w:bCs/>
          <w:szCs w:val="21"/>
          <w:highlight w:val="yellow"/>
          <w:lang w:eastAsia="zh-CN"/>
        </w:rPr>
        <w:t>甲方</w:t>
      </w:r>
      <w:r>
        <w:rPr>
          <w:rFonts w:hint="eastAsia" w:ascii="宋体" w:hAnsi="宋体"/>
          <w:b w:val="0"/>
          <w:bCs/>
          <w:szCs w:val="21"/>
          <w:highlight w:val="yellow"/>
        </w:rPr>
        <w:t>有权直接从履约保证金中扣除相应违约金/损失赔偿款项。如果在合同签订后至</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履行完毕合同约定的义务事项之内未发生</w:t>
      </w:r>
      <w:r>
        <w:rPr>
          <w:rFonts w:hint="eastAsia" w:ascii="宋体" w:hAnsi="宋体"/>
          <w:b w:val="0"/>
          <w:bCs/>
          <w:szCs w:val="21"/>
          <w:highlight w:val="yellow"/>
          <w:lang w:eastAsia="zh-CN"/>
        </w:rPr>
        <w:t>乙方</w:t>
      </w:r>
      <w:r>
        <w:rPr>
          <w:rFonts w:hint="eastAsia" w:ascii="宋体" w:hAnsi="宋体"/>
          <w:b w:val="0"/>
          <w:bCs/>
          <w:szCs w:val="21"/>
          <w:highlight w:val="yellow"/>
        </w:rPr>
        <w:t>不履行或不妥善履行合同约定义务的情况，在</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履行完毕合同约定的义务事项后，</w:t>
      </w:r>
      <w:r>
        <w:rPr>
          <w:rFonts w:hint="eastAsia" w:ascii="宋体" w:hAnsi="宋体"/>
          <w:b w:val="0"/>
          <w:bCs/>
          <w:szCs w:val="21"/>
          <w:highlight w:val="yellow"/>
          <w:lang w:eastAsia="zh-CN"/>
        </w:rPr>
        <w:t>乙方</w:t>
      </w:r>
      <w:r>
        <w:rPr>
          <w:rFonts w:hint="eastAsia" w:ascii="宋体" w:hAnsi="宋体"/>
          <w:b w:val="0"/>
          <w:bCs/>
          <w:szCs w:val="21"/>
          <w:highlight w:val="yellow"/>
        </w:rPr>
        <w:t>向</w:t>
      </w:r>
      <w:r>
        <w:rPr>
          <w:rFonts w:hint="eastAsia" w:ascii="宋体" w:hAnsi="宋体"/>
          <w:b w:val="0"/>
          <w:bCs/>
          <w:szCs w:val="21"/>
          <w:highlight w:val="yellow"/>
          <w:lang w:eastAsia="zh-CN"/>
        </w:rPr>
        <w:t>甲方</w:t>
      </w:r>
      <w:r>
        <w:rPr>
          <w:rFonts w:hint="eastAsia" w:ascii="宋体" w:hAnsi="宋体"/>
          <w:b w:val="0"/>
          <w:bCs/>
          <w:szCs w:val="21"/>
          <w:highlight w:val="yellow"/>
        </w:rPr>
        <w:t>提供完整资料到达</w:t>
      </w:r>
      <w:r>
        <w:rPr>
          <w:rFonts w:hint="eastAsia" w:ascii="宋体" w:hAnsi="宋体"/>
          <w:b w:val="0"/>
          <w:bCs/>
          <w:szCs w:val="21"/>
          <w:highlight w:val="yellow"/>
          <w:lang w:eastAsia="zh-CN"/>
        </w:rPr>
        <w:t>甲方</w:t>
      </w:r>
      <w:r>
        <w:rPr>
          <w:rFonts w:hint="eastAsia" w:ascii="宋体" w:hAnsi="宋体"/>
          <w:b w:val="0"/>
          <w:bCs/>
          <w:szCs w:val="21"/>
          <w:highlight w:val="yellow"/>
        </w:rPr>
        <w:t>财务之日起30日内，</w:t>
      </w:r>
      <w:r>
        <w:rPr>
          <w:rFonts w:hint="eastAsia" w:ascii="宋体" w:hAnsi="宋体"/>
          <w:b w:val="0"/>
          <w:bCs/>
          <w:szCs w:val="21"/>
          <w:highlight w:val="yellow"/>
          <w:lang w:eastAsia="zh-CN"/>
        </w:rPr>
        <w:t>甲方</w:t>
      </w:r>
      <w:r>
        <w:rPr>
          <w:rFonts w:hint="eastAsia" w:ascii="宋体" w:hAnsi="宋体"/>
          <w:b w:val="0"/>
          <w:bCs/>
          <w:szCs w:val="21"/>
          <w:highlight w:val="yellow"/>
        </w:rPr>
        <w:t>将履约保证金无息返还给</w:t>
      </w:r>
      <w:r>
        <w:rPr>
          <w:rFonts w:hint="eastAsia" w:ascii="宋体" w:hAnsi="宋体"/>
          <w:b w:val="0"/>
          <w:bCs/>
          <w:szCs w:val="21"/>
          <w:highlight w:val="yellow"/>
          <w:lang w:eastAsia="zh-CN"/>
        </w:rPr>
        <w:t>乙方</w:t>
      </w:r>
      <w:r>
        <w:rPr>
          <w:rFonts w:hint="eastAsia" w:ascii="宋体" w:hAnsi="宋体"/>
          <w:b w:val="0"/>
          <w:bCs/>
          <w:szCs w:val="21"/>
          <w:highlight w:val="yellow"/>
        </w:rPr>
        <w:t>。</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7"/>
        <w:numPr>
          <w:ilvl w:val="1"/>
          <w:numId w:val="21"/>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7"/>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3"/>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3"/>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3"/>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3"/>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3"/>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3"/>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3"/>
        <w:spacing w:line="360" w:lineRule="auto"/>
        <w:ind w:firstLine="420" w:firstLineChars="200"/>
        <w:jc w:val="left"/>
        <w:rPr>
          <w:rFonts w:hAnsi="宋体" w:cs="Times New Roman"/>
        </w:rPr>
      </w:pPr>
      <w:r>
        <w:rPr>
          <w:rFonts w:hint="eastAsia" w:hAnsi="宋体" w:cs="Times New Roman"/>
        </w:rPr>
        <w:t>7. 中标通知书/采购通知书</w:t>
      </w:r>
    </w:p>
    <w:p>
      <w:pPr>
        <w:pStyle w:val="13"/>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3"/>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3"/>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3"/>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3"/>
        <w:ind w:firstLine="0" w:firstLineChars="0"/>
        <w:jc w:val="left"/>
        <w:rPr>
          <w:rFonts w:ascii="宋体" w:hAnsi="宋体"/>
          <w:sz w:val="21"/>
          <w:szCs w:val="21"/>
        </w:rPr>
      </w:pPr>
      <w:r>
        <w:rPr>
          <w:rFonts w:hint="eastAsia" w:ascii="宋体" w:hAnsi="宋体"/>
          <w:sz w:val="21"/>
          <w:szCs w:val="21"/>
        </w:rPr>
        <w:t>委托代理人：                                     委托代理人：</w:t>
      </w:r>
    </w:p>
    <w:p>
      <w:pPr>
        <w:pStyle w:val="53"/>
        <w:ind w:firstLine="0" w:firstLineChars="0"/>
        <w:jc w:val="left"/>
        <w:rPr>
          <w:rFonts w:ascii="宋体" w:hAnsi="宋体"/>
          <w:sz w:val="21"/>
          <w:szCs w:val="21"/>
        </w:rPr>
      </w:pPr>
      <w:r>
        <w:rPr>
          <w:rFonts w:hint="eastAsia" w:ascii="宋体" w:hAnsi="宋体"/>
          <w:sz w:val="21"/>
          <w:szCs w:val="21"/>
        </w:rPr>
        <w:t>电话：                                           电话：</w:t>
      </w:r>
    </w:p>
    <w:p>
      <w:pPr>
        <w:pStyle w:val="53"/>
        <w:ind w:firstLine="0" w:firstLineChars="0"/>
        <w:jc w:val="left"/>
        <w:rPr>
          <w:rFonts w:ascii="宋体" w:hAnsi="宋体"/>
          <w:sz w:val="21"/>
          <w:szCs w:val="21"/>
        </w:rPr>
      </w:pPr>
      <w:r>
        <w:rPr>
          <w:rFonts w:hint="eastAsia" w:ascii="宋体" w:hAnsi="宋体"/>
          <w:sz w:val="21"/>
          <w:szCs w:val="21"/>
        </w:rPr>
        <w:t>开户银行：                                       开户银行：</w:t>
      </w:r>
    </w:p>
    <w:p>
      <w:pPr>
        <w:pStyle w:val="53"/>
        <w:ind w:firstLine="0" w:firstLineChars="0"/>
        <w:jc w:val="left"/>
        <w:rPr>
          <w:rFonts w:ascii="宋体" w:hAnsi="宋体"/>
          <w:sz w:val="21"/>
          <w:szCs w:val="21"/>
        </w:rPr>
      </w:pPr>
      <w:r>
        <w:rPr>
          <w:rFonts w:hint="eastAsia" w:ascii="宋体" w:hAnsi="宋体"/>
          <w:sz w:val="21"/>
          <w:szCs w:val="21"/>
        </w:rPr>
        <w:t xml:space="preserve">帐号：                                           帐号： </w:t>
      </w:r>
    </w:p>
    <w:p>
      <w:pPr>
        <w:pStyle w:val="53"/>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3"/>
      </w:pPr>
    </w:p>
    <w:p>
      <w:pPr>
        <w:pStyle w:val="13"/>
      </w:pPr>
    </w:p>
    <w:p>
      <w:pPr>
        <w:pStyle w:val="13"/>
      </w:pPr>
    </w:p>
    <w:p>
      <w:pPr>
        <w:pStyle w:val="13"/>
      </w:pPr>
    </w:p>
    <w:p>
      <w:pPr>
        <w:pStyle w:val="13"/>
      </w:pPr>
    </w:p>
    <w:p>
      <w:pPr>
        <w:pStyle w:val="13"/>
      </w:pPr>
    </w:p>
    <w:p>
      <w:pPr>
        <w:pStyle w:val="13"/>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3"/>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3"/>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3"/>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3"/>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3"/>
      </w:pPr>
    </w:p>
    <w:p>
      <w:pPr>
        <w:pStyle w:val="13"/>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3"/>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（投标人单位名称）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3"/>
        <w:spacing w:line="360" w:lineRule="auto"/>
        <w:jc w:val="left"/>
        <w:rPr>
          <w:rFonts w:hint="eastAsia" w:hAnsi="宋体" w:cs="Times New Roman"/>
        </w:rPr>
      </w:pPr>
    </w:p>
    <w:p>
      <w:pPr>
        <w:pStyle w:val="13"/>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3"/>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3"/>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6"/>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6"/>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10</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6"/>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37</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9F5E161F"/>
    <w:multiLevelType w:val="singleLevel"/>
    <w:tmpl w:val="9F5E161F"/>
    <w:lvl w:ilvl="0" w:tentative="0">
      <w:start w:val="1"/>
      <w:numFmt w:val="decimal"/>
      <w:suff w:val="nothing"/>
      <w:lvlText w:val="%1、"/>
      <w:lvlJc w:val="left"/>
    </w:lvl>
  </w:abstractNum>
  <w:abstractNum w:abstractNumId="2">
    <w:nsid w:val="B1B79132"/>
    <w:multiLevelType w:val="singleLevel"/>
    <w:tmpl w:val="B1B79132"/>
    <w:lvl w:ilvl="0" w:tentative="0">
      <w:start w:val="2"/>
      <w:numFmt w:val="chineseCounting"/>
      <w:suff w:val="nothing"/>
      <w:lvlText w:val="（%1）"/>
      <w:lvlJc w:val="left"/>
      <w:rPr>
        <w:rFonts w:hint="eastAsia"/>
      </w:rPr>
    </w:lvl>
  </w:abstractNum>
  <w:abstractNum w:abstractNumId="3">
    <w:nsid w:val="C13B5B23"/>
    <w:multiLevelType w:val="singleLevel"/>
    <w:tmpl w:val="C13B5B23"/>
    <w:lvl w:ilvl="0" w:tentative="0">
      <w:start w:val="1"/>
      <w:numFmt w:val="decimal"/>
      <w:lvlText w:val="(%1)"/>
      <w:lvlJc w:val="left"/>
      <w:pPr>
        <w:ind w:left="425" w:hanging="425"/>
      </w:pPr>
      <w:rPr>
        <w:rFonts w:hint="default"/>
      </w:rPr>
    </w:lvl>
  </w:abstractNum>
  <w:abstractNum w:abstractNumId="4">
    <w:nsid w:val="CE401244"/>
    <w:multiLevelType w:val="singleLevel"/>
    <w:tmpl w:val="CE401244"/>
    <w:lvl w:ilvl="0" w:tentative="0">
      <w:start w:val="6"/>
      <w:numFmt w:val="chineseCounting"/>
      <w:suff w:val="nothing"/>
      <w:lvlText w:val="（%1）"/>
      <w:lvlJc w:val="left"/>
      <w:rPr>
        <w:rFonts w:hint="eastAsia"/>
      </w:r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AE0D119"/>
    <w:multiLevelType w:val="singleLevel"/>
    <w:tmpl w:val="EAE0D119"/>
    <w:lvl w:ilvl="0" w:tentative="0">
      <w:start w:val="2"/>
      <w:numFmt w:val="upperLetter"/>
      <w:suff w:val="nothing"/>
      <w:lvlText w:val="%1、"/>
      <w:lvlJc w:val="left"/>
    </w:lvl>
  </w:abstractNum>
  <w:abstractNum w:abstractNumId="7">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8">
    <w:nsid w:val="17AD488E"/>
    <w:multiLevelType w:val="singleLevel"/>
    <w:tmpl w:val="17AD488E"/>
    <w:lvl w:ilvl="0" w:tentative="0">
      <w:start w:val="3"/>
      <w:numFmt w:val="decimal"/>
      <w:suff w:val="nothing"/>
      <w:lvlText w:val="（%1）"/>
      <w:lvlJc w:val="left"/>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3721624"/>
    <w:multiLevelType w:val="singleLevel"/>
    <w:tmpl w:val="23721624"/>
    <w:lvl w:ilvl="0" w:tentative="0">
      <w:start w:val="6"/>
      <w:numFmt w:val="decimal"/>
      <w:lvlText w:val="%1."/>
      <w:lvlJc w:val="left"/>
      <w:pPr>
        <w:tabs>
          <w:tab w:val="left" w:pos="312"/>
        </w:tabs>
        <w:ind w:left="-62"/>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A70A31D"/>
    <w:multiLevelType w:val="singleLevel"/>
    <w:tmpl w:val="3A70A31D"/>
    <w:lvl w:ilvl="0" w:tentative="0">
      <w:start w:val="14"/>
      <w:numFmt w:val="chineseCounting"/>
      <w:suff w:val="nothing"/>
      <w:lvlText w:val="（%1）"/>
      <w:lvlJc w:val="left"/>
      <w:rPr>
        <w:rFonts w:hint="eastAsia"/>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4BF8249C"/>
    <w:multiLevelType w:val="multilevel"/>
    <w:tmpl w:val="4BF8249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8E6E473"/>
    <w:multiLevelType w:val="singleLevel"/>
    <w:tmpl w:val="68E6E473"/>
    <w:lvl w:ilvl="0" w:tentative="0">
      <w:start w:val="1"/>
      <w:numFmt w:val="chineseCounting"/>
      <w:suff w:val="nothing"/>
      <w:lvlText w:val="%1、"/>
      <w:lvlJc w:val="left"/>
      <w:rPr>
        <w:rFonts w:hint="eastAsia"/>
      </w:rPr>
    </w:lvl>
  </w:abstractNum>
  <w:abstractNum w:abstractNumId="19">
    <w:nsid w:val="6D867E1D"/>
    <w:multiLevelType w:val="multilevel"/>
    <w:tmpl w:val="6D867E1D"/>
    <w:lvl w:ilvl="0" w:tentative="0">
      <w:start w:val="1"/>
      <w:numFmt w:val="decimal"/>
      <w:pStyle w:val="44"/>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0">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13"/>
  </w:num>
  <w:num w:numId="3">
    <w:abstractNumId w:val="5"/>
  </w:num>
  <w:num w:numId="4">
    <w:abstractNumId w:val="10"/>
  </w:num>
  <w:num w:numId="5">
    <w:abstractNumId w:val="0"/>
  </w:num>
  <w:num w:numId="6">
    <w:abstractNumId w:val="8"/>
  </w:num>
  <w:num w:numId="7">
    <w:abstractNumId w:val="3"/>
  </w:num>
  <w:num w:numId="8">
    <w:abstractNumId w:val="18"/>
  </w:num>
  <w:num w:numId="9">
    <w:abstractNumId w:val="7"/>
  </w:num>
  <w:num w:numId="10">
    <w:abstractNumId w:val="15"/>
  </w:num>
  <w:num w:numId="11">
    <w:abstractNumId w:val="6"/>
  </w:num>
  <w:num w:numId="12">
    <w:abstractNumId w:val="1"/>
  </w:num>
  <w:num w:numId="13">
    <w:abstractNumId w:val="20"/>
  </w:num>
  <w:num w:numId="14">
    <w:abstractNumId w:val="2"/>
  </w:num>
  <w:num w:numId="15">
    <w:abstractNumId w:val="14"/>
  </w:num>
  <w:num w:numId="16">
    <w:abstractNumId w:val="4"/>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4YjYwYjViNzdhZWE4ZDEzMTIwZDdiYWU5OTc1OT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583748"/>
    <w:rsid w:val="0183453D"/>
    <w:rsid w:val="01973B44"/>
    <w:rsid w:val="01CD5A45"/>
    <w:rsid w:val="01E054EB"/>
    <w:rsid w:val="01FF4D3D"/>
    <w:rsid w:val="02181129"/>
    <w:rsid w:val="027D0F8C"/>
    <w:rsid w:val="02C95024"/>
    <w:rsid w:val="02D52B76"/>
    <w:rsid w:val="02EF585B"/>
    <w:rsid w:val="031A792F"/>
    <w:rsid w:val="032F2286"/>
    <w:rsid w:val="038C7CA9"/>
    <w:rsid w:val="039C77C9"/>
    <w:rsid w:val="03AC38D7"/>
    <w:rsid w:val="03BD1657"/>
    <w:rsid w:val="0429493F"/>
    <w:rsid w:val="046E3282"/>
    <w:rsid w:val="048900BC"/>
    <w:rsid w:val="048C647E"/>
    <w:rsid w:val="049820AD"/>
    <w:rsid w:val="04A673C0"/>
    <w:rsid w:val="04AB3B8E"/>
    <w:rsid w:val="04B0004D"/>
    <w:rsid w:val="04B30C95"/>
    <w:rsid w:val="05740424"/>
    <w:rsid w:val="058D5456"/>
    <w:rsid w:val="059E36F3"/>
    <w:rsid w:val="05AE1F53"/>
    <w:rsid w:val="05BD7492"/>
    <w:rsid w:val="05CF5FA2"/>
    <w:rsid w:val="062C6F51"/>
    <w:rsid w:val="063570EF"/>
    <w:rsid w:val="06654211"/>
    <w:rsid w:val="068A136C"/>
    <w:rsid w:val="06B37672"/>
    <w:rsid w:val="06C12B4D"/>
    <w:rsid w:val="06CA50AF"/>
    <w:rsid w:val="06DD024B"/>
    <w:rsid w:val="07640D2E"/>
    <w:rsid w:val="07874C83"/>
    <w:rsid w:val="078D3A39"/>
    <w:rsid w:val="07F36D44"/>
    <w:rsid w:val="07F910B5"/>
    <w:rsid w:val="082A0832"/>
    <w:rsid w:val="082F30B8"/>
    <w:rsid w:val="084A7B62"/>
    <w:rsid w:val="08670714"/>
    <w:rsid w:val="08AD7C14"/>
    <w:rsid w:val="08BE7582"/>
    <w:rsid w:val="08D43AEC"/>
    <w:rsid w:val="09267C87"/>
    <w:rsid w:val="09772BD9"/>
    <w:rsid w:val="09C35E1E"/>
    <w:rsid w:val="0A263C68"/>
    <w:rsid w:val="0A285C81"/>
    <w:rsid w:val="0A3E680D"/>
    <w:rsid w:val="0AB17A25"/>
    <w:rsid w:val="0ABA0F47"/>
    <w:rsid w:val="0B024724"/>
    <w:rsid w:val="0B16508E"/>
    <w:rsid w:val="0B2524EA"/>
    <w:rsid w:val="0B792C38"/>
    <w:rsid w:val="0BA17A99"/>
    <w:rsid w:val="0BA650B0"/>
    <w:rsid w:val="0BAB0918"/>
    <w:rsid w:val="0BE107DE"/>
    <w:rsid w:val="0BE108AB"/>
    <w:rsid w:val="0C090B9D"/>
    <w:rsid w:val="0C30706F"/>
    <w:rsid w:val="0CE41347"/>
    <w:rsid w:val="0CFB25DD"/>
    <w:rsid w:val="0D447CF4"/>
    <w:rsid w:val="0D7C07BE"/>
    <w:rsid w:val="0D8F0AE7"/>
    <w:rsid w:val="0DB07C8C"/>
    <w:rsid w:val="0DE620DB"/>
    <w:rsid w:val="0DE87C01"/>
    <w:rsid w:val="0E277F52"/>
    <w:rsid w:val="0EA1570F"/>
    <w:rsid w:val="0EAF118E"/>
    <w:rsid w:val="0EBE4E06"/>
    <w:rsid w:val="0EC01926"/>
    <w:rsid w:val="0EF95E3E"/>
    <w:rsid w:val="0F113188"/>
    <w:rsid w:val="0F144A26"/>
    <w:rsid w:val="0F503CB0"/>
    <w:rsid w:val="0F5827B9"/>
    <w:rsid w:val="0FEA23BC"/>
    <w:rsid w:val="0FFD0FD3"/>
    <w:rsid w:val="102D3FF1"/>
    <w:rsid w:val="10503E19"/>
    <w:rsid w:val="107A4379"/>
    <w:rsid w:val="109202F8"/>
    <w:rsid w:val="111E6857"/>
    <w:rsid w:val="11630E1A"/>
    <w:rsid w:val="11951606"/>
    <w:rsid w:val="12253C22"/>
    <w:rsid w:val="12413CE6"/>
    <w:rsid w:val="1244086E"/>
    <w:rsid w:val="1292638E"/>
    <w:rsid w:val="12D1335A"/>
    <w:rsid w:val="12D9220E"/>
    <w:rsid w:val="12DA7BEC"/>
    <w:rsid w:val="13136DB9"/>
    <w:rsid w:val="132A2A6A"/>
    <w:rsid w:val="13315BA7"/>
    <w:rsid w:val="134E49AB"/>
    <w:rsid w:val="135E2714"/>
    <w:rsid w:val="13A22B24"/>
    <w:rsid w:val="13CE315E"/>
    <w:rsid w:val="13D05A6C"/>
    <w:rsid w:val="13F6294C"/>
    <w:rsid w:val="1413052D"/>
    <w:rsid w:val="14135073"/>
    <w:rsid w:val="142150CF"/>
    <w:rsid w:val="14AF4635"/>
    <w:rsid w:val="14CA0061"/>
    <w:rsid w:val="14E31122"/>
    <w:rsid w:val="152A6D51"/>
    <w:rsid w:val="154868AB"/>
    <w:rsid w:val="15BF393E"/>
    <w:rsid w:val="15D078F9"/>
    <w:rsid w:val="15EA028F"/>
    <w:rsid w:val="1618304E"/>
    <w:rsid w:val="16714F7E"/>
    <w:rsid w:val="16886627"/>
    <w:rsid w:val="170610F8"/>
    <w:rsid w:val="17156B77"/>
    <w:rsid w:val="17296BAE"/>
    <w:rsid w:val="17683B61"/>
    <w:rsid w:val="176D63E7"/>
    <w:rsid w:val="176E6E8D"/>
    <w:rsid w:val="17773DA4"/>
    <w:rsid w:val="17885EF4"/>
    <w:rsid w:val="179C29A4"/>
    <w:rsid w:val="179E3A27"/>
    <w:rsid w:val="17C36FE9"/>
    <w:rsid w:val="17F17FFA"/>
    <w:rsid w:val="18154FDF"/>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B067919"/>
    <w:rsid w:val="1B5D2E16"/>
    <w:rsid w:val="1BED0AD9"/>
    <w:rsid w:val="1C281B11"/>
    <w:rsid w:val="1C2D7127"/>
    <w:rsid w:val="1C5446B4"/>
    <w:rsid w:val="1C832374"/>
    <w:rsid w:val="1CC65727"/>
    <w:rsid w:val="1CD557F5"/>
    <w:rsid w:val="1CDA105D"/>
    <w:rsid w:val="1CE67A02"/>
    <w:rsid w:val="1CED5159"/>
    <w:rsid w:val="1D2A7F3B"/>
    <w:rsid w:val="1D4E55A7"/>
    <w:rsid w:val="1D6238FF"/>
    <w:rsid w:val="1D6B2AB2"/>
    <w:rsid w:val="1D7E06B8"/>
    <w:rsid w:val="1D982712"/>
    <w:rsid w:val="1DA57C19"/>
    <w:rsid w:val="1DAB49DC"/>
    <w:rsid w:val="1E032835"/>
    <w:rsid w:val="1E0653CE"/>
    <w:rsid w:val="1E2A40E0"/>
    <w:rsid w:val="1E5B3AD5"/>
    <w:rsid w:val="1E6806FF"/>
    <w:rsid w:val="1E6A01BF"/>
    <w:rsid w:val="1E6B2A02"/>
    <w:rsid w:val="1EA35AC9"/>
    <w:rsid w:val="1EAE454F"/>
    <w:rsid w:val="1F1B41F1"/>
    <w:rsid w:val="1F325180"/>
    <w:rsid w:val="1F9A4AD4"/>
    <w:rsid w:val="1FD47FE6"/>
    <w:rsid w:val="1FE31481"/>
    <w:rsid w:val="1FF266BE"/>
    <w:rsid w:val="20054643"/>
    <w:rsid w:val="208963FE"/>
    <w:rsid w:val="20C647D7"/>
    <w:rsid w:val="20E63E37"/>
    <w:rsid w:val="21EF3B37"/>
    <w:rsid w:val="220F0EFC"/>
    <w:rsid w:val="223C0717"/>
    <w:rsid w:val="227D5AD8"/>
    <w:rsid w:val="22C45A5A"/>
    <w:rsid w:val="22EA5D72"/>
    <w:rsid w:val="234C3FAD"/>
    <w:rsid w:val="23506155"/>
    <w:rsid w:val="23643669"/>
    <w:rsid w:val="23690DB1"/>
    <w:rsid w:val="23773E1A"/>
    <w:rsid w:val="23827D58"/>
    <w:rsid w:val="23BA3996"/>
    <w:rsid w:val="24575689"/>
    <w:rsid w:val="246B7668"/>
    <w:rsid w:val="248875F1"/>
    <w:rsid w:val="248A3369"/>
    <w:rsid w:val="253A0D6D"/>
    <w:rsid w:val="257F09F3"/>
    <w:rsid w:val="25910727"/>
    <w:rsid w:val="2596422C"/>
    <w:rsid w:val="25C711A8"/>
    <w:rsid w:val="25FC0296"/>
    <w:rsid w:val="25FC3DF2"/>
    <w:rsid w:val="25FF38E2"/>
    <w:rsid w:val="261216E0"/>
    <w:rsid w:val="26727FA6"/>
    <w:rsid w:val="26915CAF"/>
    <w:rsid w:val="269C3827"/>
    <w:rsid w:val="26E1597C"/>
    <w:rsid w:val="26E4504A"/>
    <w:rsid w:val="26E74AA2"/>
    <w:rsid w:val="26F24B93"/>
    <w:rsid w:val="278542BB"/>
    <w:rsid w:val="27A02EA3"/>
    <w:rsid w:val="27A91D58"/>
    <w:rsid w:val="27D0517B"/>
    <w:rsid w:val="280169BB"/>
    <w:rsid w:val="28133675"/>
    <w:rsid w:val="28173165"/>
    <w:rsid w:val="28AF6B22"/>
    <w:rsid w:val="28EF5E90"/>
    <w:rsid w:val="28F74564"/>
    <w:rsid w:val="2919115F"/>
    <w:rsid w:val="296C5733"/>
    <w:rsid w:val="296F6FD1"/>
    <w:rsid w:val="29A2742D"/>
    <w:rsid w:val="29B80978"/>
    <w:rsid w:val="29E20DBB"/>
    <w:rsid w:val="2A282BFE"/>
    <w:rsid w:val="2A61691A"/>
    <w:rsid w:val="2AB32EED"/>
    <w:rsid w:val="2AD12103"/>
    <w:rsid w:val="2AFA2574"/>
    <w:rsid w:val="2B170C8C"/>
    <w:rsid w:val="2BBB2F48"/>
    <w:rsid w:val="2C041A4C"/>
    <w:rsid w:val="2C2960C4"/>
    <w:rsid w:val="2C4F2E26"/>
    <w:rsid w:val="2C5E66B5"/>
    <w:rsid w:val="2C6646BB"/>
    <w:rsid w:val="2C673F8F"/>
    <w:rsid w:val="2C6D3C9C"/>
    <w:rsid w:val="2C7D3FB3"/>
    <w:rsid w:val="2C8D1C48"/>
    <w:rsid w:val="2CC82C80"/>
    <w:rsid w:val="2D1E2D97"/>
    <w:rsid w:val="2D366247"/>
    <w:rsid w:val="2DC07925"/>
    <w:rsid w:val="2DD15077"/>
    <w:rsid w:val="2E0028ED"/>
    <w:rsid w:val="2E5F7614"/>
    <w:rsid w:val="2E8E7EF9"/>
    <w:rsid w:val="2EB5368F"/>
    <w:rsid w:val="2EEF6BEA"/>
    <w:rsid w:val="2EF22236"/>
    <w:rsid w:val="2EFA1AAE"/>
    <w:rsid w:val="2F0D52C2"/>
    <w:rsid w:val="2F220743"/>
    <w:rsid w:val="2F6A2714"/>
    <w:rsid w:val="2F6C15EA"/>
    <w:rsid w:val="2FCF4325"/>
    <w:rsid w:val="30233C35"/>
    <w:rsid w:val="305202E1"/>
    <w:rsid w:val="308F7DBA"/>
    <w:rsid w:val="30BD0622"/>
    <w:rsid w:val="30DD5062"/>
    <w:rsid w:val="314E571E"/>
    <w:rsid w:val="31644F41"/>
    <w:rsid w:val="31B52AA1"/>
    <w:rsid w:val="31C64123"/>
    <w:rsid w:val="31C75BFC"/>
    <w:rsid w:val="31F14A27"/>
    <w:rsid w:val="31F812AD"/>
    <w:rsid w:val="32007960"/>
    <w:rsid w:val="320F75A3"/>
    <w:rsid w:val="32114013"/>
    <w:rsid w:val="32316D36"/>
    <w:rsid w:val="32342B66"/>
    <w:rsid w:val="32721408"/>
    <w:rsid w:val="32782D42"/>
    <w:rsid w:val="32F7500C"/>
    <w:rsid w:val="331A2096"/>
    <w:rsid w:val="33262BA7"/>
    <w:rsid w:val="334F40FB"/>
    <w:rsid w:val="335C6818"/>
    <w:rsid w:val="33E02FA5"/>
    <w:rsid w:val="34060532"/>
    <w:rsid w:val="343B01DB"/>
    <w:rsid w:val="34406496"/>
    <w:rsid w:val="345D63A4"/>
    <w:rsid w:val="349B6ECC"/>
    <w:rsid w:val="34A71472"/>
    <w:rsid w:val="34B800A1"/>
    <w:rsid w:val="35026F4B"/>
    <w:rsid w:val="3522075B"/>
    <w:rsid w:val="35702107"/>
    <w:rsid w:val="35845BB2"/>
    <w:rsid w:val="35847960"/>
    <w:rsid w:val="35C03876"/>
    <w:rsid w:val="35E054DE"/>
    <w:rsid w:val="360C16BF"/>
    <w:rsid w:val="361A5A0E"/>
    <w:rsid w:val="362D7FF8"/>
    <w:rsid w:val="36657792"/>
    <w:rsid w:val="36DD37CC"/>
    <w:rsid w:val="370F76FD"/>
    <w:rsid w:val="3770001B"/>
    <w:rsid w:val="381F127A"/>
    <w:rsid w:val="382A376D"/>
    <w:rsid w:val="38D358C9"/>
    <w:rsid w:val="38F75B2D"/>
    <w:rsid w:val="39111E53"/>
    <w:rsid w:val="39257304"/>
    <w:rsid w:val="393646FD"/>
    <w:rsid w:val="395A55A8"/>
    <w:rsid w:val="39A14A8C"/>
    <w:rsid w:val="39A20CFD"/>
    <w:rsid w:val="39C5373F"/>
    <w:rsid w:val="39D8471E"/>
    <w:rsid w:val="3A0967BA"/>
    <w:rsid w:val="3A1A0BFC"/>
    <w:rsid w:val="3A396F6B"/>
    <w:rsid w:val="3A4818A4"/>
    <w:rsid w:val="3A665563"/>
    <w:rsid w:val="3AAD0BFB"/>
    <w:rsid w:val="3ADE5D64"/>
    <w:rsid w:val="3AED0BAA"/>
    <w:rsid w:val="3B3D2A8B"/>
    <w:rsid w:val="3B660234"/>
    <w:rsid w:val="3B6B584A"/>
    <w:rsid w:val="3B863475"/>
    <w:rsid w:val="3B8F2770"/>
    <w:rsid w:val="3BAB3E99"/>
    <w:rsid w:val="3BC91BD6"/>
    <w:rsid w:val="3C3420E0"/>
    <w:rsid w:val="3C5F2ED5"/>
    <w:rsid w:val="3C7A4CDD"/>
    <w:rsid w:val="3CCF35D1"/>
    <w:rsid w:val="3CF655E7"/>
    <w:rsid w:val="3D4778A5"/>
    <w:rsid w:val="3D891FB8"/>
    <w:rsid w:val="3DA23079"/>
    <w:rsid w:val="3DA823F9"/>
    <w:rsid w:val="3DF243FA"/>
    <w:rsid w:val="3DF8538F"/>
    <w:rsid w:val="3E6B790F"/>
    <w:rsid w:val="3E70582C"/>
    <w:rsid w:val="3E80785E"/>
    <w:rsid w:val="3E813130"/>
    <w:rsid w:val="3E9B1F29"/>
    <w:rsid w:val="3EA9184F"/>
    <w:rsid w:val="3ECD4126"/>
    <w:rsid w:val="3ED92EFE"/>
    <w:rsid w:val="3EDA24BC"/>
    <w:rsid w:val="3F2C52F0"/>
    <w:rsid w:val="3F5B4679"/>
    <w:rsid w:val="3FCC6AD3"/>
    <w:rsid w:val="400D4BB3"/>
    <w:rsid w:val="40477F08"/>
    <w:rsid w:val="404C551E"/>
    <w:rsid w:val="40FF07E3"/>
    <w:rsid w:val="410024A8"/>
    <w:rsid w:val="41422865"/>
    <w:rsid w:val="416E7E42"/>
    <w:rsid w:val="417D1DC2"/>
    <w:rsid w:val="41CA2F47"/>
    <w:rsid w:val="41E2070B"/>
    <w:rsid w:val="41E41EB2"/>
    <w:rsid w:val="41E53E7C"/>
    <w:rsid w:val="41EB6D1E"/>
    <w:rsid w:val="41FB544E"/>
    <w:rsid w:val="42277FF1"/>
    <w:rsid w:val="4285798E"/>
    <w:rsid w:val="42D361F6"/>
    <w:rsid w:val="42FF18AE"/>
    <w:rsid w:val="43030AAD"/>
    <w:rsid w:val="43A37B4B"/>
    <w:rsid w:val="43BB4E95"/>
    <w:rsid w:val="43BD1D1D"/>
    <w:rsid w:val="43F9776B"/>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5A04342"/>
    <w:rsid w:val="46780567"/>
    <w:rsid w:val="46813D02"/>
    <w:rsid w:val="46D544C0"/>
    <w:rsid w:val="46F9684D"/>
    <w:rsid w:val="47300AE8"/>
    <w:rsid w:val="47363AE9"/>
    <w:rsid w:val="47FD3CCE"/>
    <w:rsid w:val="484C4852"/>
    <w:rsid w:val="488717E9"/>
    <w:rsid w:val="489E5821"/>
    <w:rsid w:val="49092A56"/>
    <w:rsid w:val="49105C83"/>
    <w:rsid w:val="49341D31"/>
    <w:rsid w:val="493F0316"/>
    <w:rsid w:val="49553696"/>
    <w:rsid w:val="495C005F"/>
    <w:rsid w:val="498E6BA8"/>
    <w:rsid w:val="49B77EAC"/>
    <w:rsid w:val="4A0E61DF"/>
    <w:rsid w:val="4A8A55C1"/>
    <w:rsid w:val="4AD41E7B"/>
    <w:rsid w:val="4AE1010F"/>
    <w:rsid w:val="4B2E23F0"/>
    <w:rsid w:val="4B663938"/>
    <w:rsid w:val="4B8D35BB"/>
    <w:rsid w:val="4B8E2E8F"/>
    <w:rsid w:val="4C0C4717"/>
    <w:rsid w:val="4C3E6663"/>
    <w:rsid w:val="4C647439"/>
    <w:rsid w:val="4C7C7F92"/>
    <w:rsid w:val="4C83676C"/>
    <w:rsid w:val="4CC34DBA"/>
    <w:rsid w:val="4CC90623"/>
    <w:rsid w:val="4D473D11"/>
    <w:rsid w:val="4D5123C6"/>
    <w:rsid w:val="4D534390"/>
    <w:rsid w:val="4D6E37DE"/>
    <w:rsid w:val="4D8B3B2A"/>
    <w:rsid w:val="4D904BF5"/>
    <w:rsid w:val="4DA263E3"/>
    <w:rsid w:val="4DB72B71"/>
    <w:rsid w:val="4DD70B1D"/>
    <w:rsid w:val="4DDC6134"/>
    <w:rsid w:val="4E5C46C4"/>
    <w:rsid w:val="4E8B4E11"/>
    <w:rsid w:val="4EA21CBF"/>
    <w:rsid w:val="4EAC1FAA"/>
    <w:rsid w:val="4EBA1A8D"/>
    <w:rsid w:val="4ECD786E"/>
    <w:rsid w:val="4F041BE5"/>
    <w:rsid w:val="4F197EA9"/>
    <w:rsid w:val="4F4A0352"/>
    <w:rsid w:val="4F6F09F1"/>
    <w:rsid w:val="4F85389D"/>
    <w:rsid w:val="4F90367A"/>
    <w:rsid w:val="4FB01626"/>
    <w:rsid w:val="4FF359B6"/>
    <w:rsid w:val="50306C0B"/>
    <w:rsid w:val="503264DF"/>
    <w:rsid w:val="505B4B47"/>
    <w:rsid w:val="50926F7D"/>
    <w:rsid w:val="50BC39B4"/>
    <w:rsid w:val="50C17863"/>
    <w:rsid w:val="50C56D57"/>
    <w:rsid w:val="50CB7900"/>
    <w:rsid w:val="510936E3"/>
    <w:rsid w:val="51097BF3"/>
    <w:rsid w:val="51293AFF"/>
    <w:rsid w:val="51343361"/>
    <w:rsid w:val="515F7EEB"/>
    <w:rsid w:val="517F5754"/>
    <w:rsid w:val="51933489"/>
    <w:rsid w:val="51AC6CAF"/>
    <w:rsid w:val="51C977F4"/>
    <w:rsid w:val="52635075"/>
    <w:rsid w:val="527F1783"/>
    <w:rsid w:val="528D3D0D"/>
    <w:rsid w:val="529A036B"/>
    <w:rsid w:val="52A631B4"/>
    <w:rsid w:val="52AB4326"/>
    <w:rsid w:val="52EA30A1"/>
    <w:rsid w:val="52EB37B7"/>
    <w:rsid w:val="53134667"/>
    <w:rsid w:val="53185EEB"/>
    <w:rsid w:val="532408B3"/>
    <w:rsid w:val="532D1418"/>
    <w:rsid w:val="53844041"/>
    <w:rsid w:val="539B083F"/>
    <w:rsid w:val="53BF0089"/>
    <w:rsid w:val="53C32D17"/>
    <w:rsid w:val="54102FDB"/>
    <w:rsid w:val="54300F87"/>
    <w:rsid w:val="54372316"/>
    <w:rsid w:val="544B5DC1"/>
    <w:rsid w:val="550C3FC5"/>
    <w:rsid w:val="558E15E7"/>
    <w:rsid w:val="55AE4859"/>
    <w:rsid w:val="55BA07E5"/>
    <w:rsid w:val="55C57403"/>
    <w:rsid w:val="564D368E"/>
    <w:rsid w:val="565371AF"/>
    <w:rsid w:val="566C201F"/>
    <w:rsid w:val="56A63783"/>
    <w:rsid w:val="56B539C6"/>
    <w:rsid w:val="56CA23FB"/>
    <w:rsid w:val="571D644B"/>
    <w:rsid w:val="573E4B0A"/>
    <w:rsid w:val="5748761D"/>
    <w:rsid w:val="57853398"/>
    <w:rsid w:val="579F5FE3"/>
    <w:rsid w:val="57E207EA"/>
    <w:rsid w:val="580764A3"/>
    <w:rsid w:val="58150BC0"/>
    <w:rsid w:val="584C035A"/>
    <w:rsid w:val="58533140"/>
    <w:rsid w:val="585B059D"/>
    <w:rsid w:val="58694A68"/>
    <w:rsid w:val="58E448D9"/>
    <w:rsid w:val="59091DA7"/>
    <w:rsid w:val="59613991"/>
    <w:rsid w:val="596335AA"/>
    <w:rsid w:val="59AA0427"/>
    <w:rsid w:val="59C17F42"/>
    <w:rsid w:val="59DB1995"/>
    <w:rsid w:val="59EF5441"/>
    <w:rsid w:val="5A117165"/>
    <w:rsid w:val="5A1B6E9D"/>
    <w:rsid w:val="5A225816"/>
    <w:rsid w:val="5A252C10"/>
    <w:rsid w:val="5A504131"/>
    <w:rsid w:val="5A9D6C4B"/>
    <w:rsid w:val="5AC46949"/>
    <w:rsid w:val="5B3C6463"/>
    <w:rsid w:val="5B444F92"/>
    <w:rsid w:val="5BB65F6A"/>
    <w:rsid w:val="5BCF72D8"/>
    <w:rsid w:val="5BDD0630"/>
    <w:rsid w:val="5C07709A"/>
    <w:rsid w:val="5C2C64D8"/>
    <w:rsid w:val="5C6B34A4"/>
    <w:rsid w:val="5C904CB9"/>
    <w:rsid w:val="5CD10258"/>
    <w:rsid w:val="5CDB3A5A"/>
    <w:rsid w:val="5CF07506"/>
    <w:rsid w:val="5D017706"/>
    <w:rsid w:val="5D105DFA"/>
    <w:rsid w:val="5D551310"/>
    <w:rsid w:val="5D5F28DD"/>
    <w:rsid w:val="5DE004FC"/>
    <w:rsid w:val="5E895E64"/>
    <w:rsid w:val="5ED65B32"/>
    <w:rsid w:val="5EE054FC"/>
    <w:rsid w:val="5F3560F1"/>
    <w:rsid w:val="5F85487D"/>
    <w:rsid w:val="5FA222CC"/>
    <w:rsid w:val="5FA3091E"/>
    <w:rsid w:val="5FE01AB3"/>
    <w:rsid w:val="60025ECE"/>
    <w:rsid w:val="602D2620"/>
    <w:rsid w:val="60586C55"/>
    <w:rsid w:val="608E59B3"/>
    <w:rsid w:val="60AE7E03"/>
    <w:rsid w:val="60C5488B"/>
    <w:rsid w:val="60FE4811"/>
    <w:rsid w:val="61084EE3"/>
    <w:rsid w:val="610A2B60"/>
    <w:rsid w:val="612D617D"/>
    <w:rsid w:val="61BC3E5A"/>
    <w:rsid w:val="61CE1DDF"/>
    <w:rsid w:val="61F65DD1"/>
    <w:rsid w:val="620852F1"/>
    <w:rsid w:val="62A3501A"/>
    <w:rsid w:val="62B22A71"/>
    <w:rsid w:val="62CC50D9"/>
    <w:rsid w:val="62FB6C04"/>
    <w:rsid w:val="63195E00"/>
    <w:rsid w:val="635C3B47"/>
    <w:rsid w:val="63B35731"/>
    <w:rsid w:val="63B514A9"/>
    <w:rsid w:val="63E241B8"/>
    <w:rsid w:val="63E325AC"/>
    <w:rsid w:val="640B731B"/>
    <w:rsid w:val="64680B6A"/>
    <w:rsid w:val="648844C8"/>
    <w:rsid w:val="64B80D87"/>
    <w:rsid w:val="64C9520C"/>
    <w:rsid w:val="64F102BF"/>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A25B4A"/>
    <w:rsid w:val="67F2059C"/>
    <w:rsid w:val="68613E1C"/>
    <w:rsid w:val="68614103"/>
    <w:rsid w:val="692E7D33"/>
    <w:rsid w:val="6958090C"/>
    <w:rsid w:val="69AF24F6"/>
    <w:rsid w:val="69DD7494"/>
    <w:rsid w:val="69F835A0"/>
    <w:rsid w:val="6A603F81"/>
    <w:rsid w:val="6A6A2D76"/>
    <w:rsid w:val="6A8664D0"/>
    <w:rsid w:val="6A9F1EAC"/>
    <w:rsid w:val="6AAF0A00"/>
    <w:rsid w:val="6AB204F0"/>
    <w:rsid w:val="6AB51D8E"/>
    <w:rsid w:val="6AC63F9C"/>
    <w:rsid w:val="6ACF2E50"/>
    <w:rsid w:val="6B145F24"/>
    <w:rsid w:val="6B4328E0"/>
    <w:rsid w:val="6B9138F9"/>
    <w:rsid w:val="6B99622E"/>
    <w:rsid w:val="6C3311BD"/>
    <w:rsid w:val="6C700663"/>
    <w:rsid w:val="6CC4103A"/>
    <w:rsid w:val="6CE25242"/>
    <w:rsid w:val="6CE4695B"/>
    <w:rsid w:val="6CE74C15"/>
    <w:rsid w:val="6CFE5C6F"/>
    <w:rsid w:val="6D147240"/>
    <w:rsid w:val="6D1E00BF"/>
    <w:rsid w:val="6D3C22F3"/>
    <w:rsid w:val="6D496B28"/>
    <w:rsid w:val="6DC009DD"/>
    <w:rsid w:val="6DEC1F6B"/>
    <w:rsid w:val="6E5B59D0"/>
    <w:rsid w:val="6E8C43AD"/>
    <w:rsid w:val="6E8D72AA"/>
    <w:rsid w:val="6EA53115"/>
    <w:rsid w:val="6EC24A7A"/>
    <w:rsid w:val="6F391857"/>
    <w:rsid w:val="6F3E2352"/>
    <w:rsid w:val="6F5F125D"/>
    <w:rsid w:val="700E0100"/>
    <w:rsid w:val="70673B2B"/>
    <w:rsid w:val="7080699B"/>
    <w:rsid w:val="70952446"/>
    <w:rsid w:val="709C4C54"/>
    <w:rsid w:val="70B10AA1"/>
    <w:rsid w:val="70C82B52"/>
    <w:rsid w:val="70F04347"/>
    <w:rsid w:val="712B6906"/>
    <w:rsid w:val="71864485"/>
    <w:rsid w:val="71883D59"/>
    <w:rsid w:val="719C5A56"/>
    <w:rsid w:val="71C64881"/>
    <w:rsid w:val="71CF3736"/>
    <w:rsid w:val="71F94C57"/>
    <w:rsid w:val="723906C9"/>
    <w:rsid w:val="726A16B0"/>
    <w:rsid w:val="72856038"/>
    <w:rsid w:val="72927053"/>
    <w:rsid w:val="729E2FB2"/>
    <w:rsid w:val="72C65FB9"/>
    <w:rsid w:val="730C2768"/>
    <w:rsid w:val="731E2BC7"/>
    <w:rsid w:val="73216213"/>
    <w:rsid w:val="73261A7B"/>
    <w:rsid w:val="732B25B2"/>
    <w:rsid w:val="73335F46"/>
    <w:rsid w:val="7337437A"/>
    <w:rsid w:val="735E6C89"/>
    <w:rsid w:val="736B56E0"/>
    <w:rsid w:val="738D2E91"/>
    <w:rsid w:val="73C372CA"/>
    <w:rsid w:val="73D51E70"/>
    <w:rsid w:val="73E3171A"/>
    <w:rsid w:val="73FB5962"/>
    <w:rsid w:val="73FE0302"/>
    <w:rsid w:val="74336B6D"/>
    <w:rsid w:val="74675EA7"/>
    <w:rsid w:val="748922C2"/>
    <w:rsid w:val="748A6630"/>
    <w:rsid w:val="74C94DB4"/>
    <w:rsid w:val="753F5076"/>
    <w:rsid w:val="7542758E"/>
    <w:rsid w:val="757765BE"/>
    <w:rsid w:val="75F0011F"/>
    <w:rsid w:val="76085468"/>
    <w:rsid w:val="76320737"/>
    <w:rsid w:val="76A71125"/>
    <w:rsid w:val="76BD6253"/>
    <w:rsid w:val="76DF64C4"/>
    <w:rsid w:val="76E9529A"/>
    <w:rsid w:val="76F37EC6"/>
    <w:rsid w:val="772B7660"/>
    <w:rsid w:val="77381D7D"/>
    <w:rsid w:val="77677888"/>
    <w:rsid w:val="77F51A1C"/>
    <w:rsid w:val="78003630"/>
    <w:rsid w:val="780F0D30"/>
    <w:rsid w:val="78160310"/>
    <w:rsid w:val="781C57AE"/>
    <w:rsid w:val="782F13D2"/>
    <w:rsid w:val="78591FAB"/>
    <w:rsid w:val="7863107C"/>
    <w:rsid w:val="786839C4"/>
    <w:rsid w:val="78760DAF"/>
    <w:rsid w:val="78D13A1C"/>
    <w:rsid w:val="79894B12"/>
    <w:rsid w:val="79940985"/>
    <w:rsid w:val="79E65AC0"/>
    <w:rsid w:val="7A145149"/>
    <w:rsid w:val="7A9B2D4F"/>
    <w:rsid w:val="7AB961C9"/>
    <w:rsid w:val="7AE709F8"/>
    <w:rsid w:val="7B083DB4"/>
    <w:rsid w:val="7B0C572E"/>
    <w:rsid w:val="7B1A261A"/>
    <w:rsid w:val="7B2321B8"/>
    <w:rsid w:val="7B2368A0"/>
    <w:rsid w:val="7B3767D8"/>
    <w:rsid w:val="7B396C3C"/>
    <w:rsid w:val="7B490229"/>
    <w:rsid w:val="7BA42C4B"/>
    <w:rsid w:val="7BA619AB"/>
    <w:rsid w:val="7BEE62DE"/>
    <w:rsid w:val="7BF774D7"/>
    <w:rsid w:val="7C262AEC"/>
    <w:rsid w:val="7C5238E1"/>
    <w:rsid w:val="7C817D22"/>
    <w:rsid w:val="7C8C4EC5"/>
    <w:rsid w:val="7CCD2F68"/>
    <w:rsid w:val="7D605B8A"/>
    <w:rsid w:val="7D9817C8"/>
    <w:rsid w:val="7DB54128"/>
    <w:rsid w:val="7DC9372F"/>
    <w:rsid w:val="7DCE6802"/>
    <w:rsid w:val="7DF12B45"/>
    <w:rsid w:val="7DF419A6"/>
    <w:rsid w:val="7DF804B8"/>
    <w:rsid w:val="7E742A76"/>
    <w:rsid w:val="7E7A711F"/>
    <w:rsid w:val="7E8458A8"/>
    <w:rsid w:val="7EA128FE"/>
    <w:rsid w:val="7EC34DD1"/>
    <w:rsid w:val="7ECB653E"/>
    <w:rsid w:val="7ED607F9"/>
    <w:rsid w:val="7F2609D9"/>
    <w:rsid w:val="7F2F1CB8"/>
    <w:rsid w:val="7F41276E"/>
    <w:rsid w:val="7F4917AA"/>
    <w:rsid w:val="7F5A3500"/>
    <w:rsid w:val="7F925477"/>
    <w:rsid w:val="7F96229E"/>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4"/>
    <w:next w:val="1"/>
    <w:link w:val="42"/>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47"/>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48"/>
    <w:qFormat/>
    <w:locked/>
    <w:uiPriority w:val="0"/>
    <w:pPr>
      <w:spacing w:before="260" w:after="260" w:line="416" w:lineRule="auto"/>
      <w:outlineLvl w:val="2"/>
    </w:pPr>
    <w:rPr>
      <w:rFonts w:eastAsia="宋体"/>
      <w:sz w:val="32"/>
      <w:szCs w:val="32"/>
    </w:rPr>
  </w:style>
  <w:style w:type="paragraph" w:styleId="6">
    <w:name w:val="heading 4"/>
    <w:basedOn w:val="1"/>
    <w:next w:val="1"/>
    <w:link w:val="50"/>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7">
    <w:name w:val="Normal Indent"/>
    <w:basedOn w:val="1"/>
    <w:next w:val="1"/>
    <w:link w:val="46"/>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5"/>
    <w:semiHidden/>
    <w:qFormat/>
    <w:uiPriority w:val="0"/>
    <w:pPr>
      <w:shd w:val="clear" w:color="auto" w:fill="000080"/>
    </w:pPr>
    <w:rPr>
      <w:rFonts w:eastAsia="宋体"/>
    </w:rPr>
  </w:style>
  <w:style w:type="paragraph" w:styleId="9">
    <w:name w:val="annotation text"/>
    <w:basedOn w:val="1"/>
    <w:link w:val="41"/>
    <w:qFormat/>
    <w:uiPriority w:val="99"/>
    <w:pPr>
      <w:jc w:val="left"/>
    </w:pPr>
    <w:rPr>
      <w:rFonts w:ascii="Calibri" w:hAnsi="Calibri"/>
      <w:szCs w:val="20"/>
    </w:rPr>
  </w:style>
  <w:style w:type="paragraph" w:styleId="10">
    <w:name w:val="Body Text"/>
    <w:basedOn w:val="1"/>
    <w:next w:val="1"/>
    <w:link w:val="59"/>
    <w:qFormat/>
    <w:uiPriority w:val="0"/>
    <w:pPr>
      <w:spacing w:after="120"/>
    </w:pPr>
    <w:rPr>
      <w:rFonts w:eastAsia="宋体"/>
    </w:rPr>
  </w:style>
  <w:style w:type="paragraph" w:styleId="11">
    <w:name w:val="Body Text Indent"/>
    <w:basedOn w:val="1"/>
    <w:qFormat/>
    <w:uiPriority w:val="0"/>
    <w:pPr>
      <w:spacing w:line="560" w:lineRule="exact"/>
      <w:ind w:left="300"/>
    </w:pPr>
    <w:rPr>
      <w:sz w:val="24"/>
    </w:rPr>
  </w:style>
  <w:style w:type="paragraph" w:styleId="12">
    <w:name w:val="toc 3"/>
    <w:basedOn w:val="1"/>
    <w:next w:val="1"/>
    <w:qFormat/>
    <w:locked/>
    <w:uiPriority w:val="39"/>
    <w:pPr>
      <w:ind w:left="840" w:leftChars="400"/>
    </w:pPr>
    <w:rPr>
      <w:rFonts w:eastAsia="宋体"/>
    </w:rPr>
  </w:style>
  <w:style w:type="paragraph" w:styleId="13">
    <w:name w:val="Plain Text"/>
    <w:basedOn w:val="1"/>
    <w:link w:val="31"/>
    <w:qFormat/>
    <w:uiPriority w:val="99"/>
    <w:rPr>
      <w:rFonts w:ascii="宋体" w:hAnsi="Courier New"/>
      <w:szCs w:val="20"/>
    </w:rPr>
  </w:style>
  <w:style w:type="paragraph" w:styleId="14">
    <w:name w:val="toc 8"/>
    <w:basedOn w:val="1"/>
    <w:next w:val="1"/>
    <w:qFormat/>
    <w:locked/>
    <w:uiPriority w:val="0"/>
    <w:pPr>
      <w:ind w:left="2940" w:leftChars="1400"/>
    </w:pPr>
  </w:style>
  <w:style w:type="paragraph" w:styleId="15">
    <w:name w:val="Balloon Text"/>
    <w:basedOn w:val="1"/>
    <w:link w:val="49"/>
    <w:semiHidden/>
    <w:unhideWhenUsed/>
    <w:qFormat/>
    <w:uiPriority w:val="99"/>
    <w:rPr>
      <w:sz w:val="18"/>
      <w:szCs w:val="18"/>
    </w:rPr>
  </w:style>
  <w:style w:type="paragraph" w:styleId="16">
    <w:name w:val="footer"/>
    <w:basedOn w:val="1"/>
    <w:link w:val="35"/>
    <w:qFormat/>
    <w:uiPriority w:val="99"/>
    <w:pPr>
      <w:tabs>
        <w:tab w:val="center" w:pos="4153"/>
        <w:tab w:val="right" w:pos="8306"/>
      </w:tabs>
      <w:snapToGrid w:val="0"/>
      <w:jc w:val="left"/>
    </w:pPr>
    <w:rPr>
      <w:sz w:val="18"/>
      <w:szCs w:val="18"/>
    </w:rPr>
  </w:style>
  <w:style w:type="paragraph" w:styleId="17">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39"/>
    <w:rPr>
      <w:rFonts w:eastAsia="宋体"/>
    </w:rPr>
  </w:style>
  <w:style w:type="paragraph" w:styleId="19">
    <w:name w:val="toc 2"/>
    <w:basedOn w:val="1"/>
    <w:next w:val="1"/>
    <w:qFormat/>
    <w:locked/>
    <w:uiPriority w:val="39"/>
    <w:pPr>
      <w:ind w:left="420" w:leftChars="200"/>
    </w:pPr>
    <w:rPr>
      <w:rFonts w:eastAsia="宋体"/>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link w:val="56"/>
    <w:qFormat/>
    <w:locked/>
    <w:uiPriority w:val="0"/>
    <w:pPr>
      <w:spacing w:before="240" w:after="60"/>
      <w:jc w:val="center"/>
      <w:outlineLvl w:val="0"/>
    </w:pPr>
    <w:rPr>
      <w:rFonts w:ascii="Arial" w:hAnsi="Arial" w:eastAsia="隶书" w:cs="Arial"/>
      <w:b/>
      <w:bCs/>
      <w:sz w:val="32"/>
      <w:szCs w:val="32"/>
    </w:rPr>
  </w:style>
  <w:style w:type="paragraph" w:styleId="22">
    <w:name w:val="Body Text First Indent 2"/>
    <w:basedOn w:val="11"/>
    <w:next w:val="1"/>
    <w:qFormat/>
    <w:uiPriority w:val="0"/>
    <w:pPr>
      <w:ind w:firstLine="420" w:firstLineChars="200"/>
    </w:pPr>
    <w:rPr>
      <w:sz w:val="21"/>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locked/>
    <w:uiPriority w:val="0"/>
    <w:rPr>
      <w:i/>
      <w:iCs/>
    </w:rPr>
  </w:style>
  <w:style w:type="character" w:styleId="28">
    <w:name w:val="Hyperlink"/>
    <w:qFormat/>
    <w:uiPriority w:val="99"/>
    <w:rPr>
      <w:color w:val="0000FF"/>
      <w:u w:val="single"/>
    </w:rPr>
  </w:style>
  <w:style w:type="character" w:styleId="29">
    <w:name w:val="annotation reference"/>
    <w:qFormat/>
    <w:uiPriority w:val="99"/>
    <w:rPr>
      <w:sz w:val="21"/>
      <w:szCs w:val="21"/>
    </w:rPr>
  </w:style>
  <w:style w:type="paragraph" w:customStyle="1" w:styleId="30">
    <w:name w:val="_Style 1"/>
    <w:basedOn w:val="1"/>
    <w:qFormat/>
    <w:uiPriority w:val="34"/>
    <w:pPr>
      <w:ind w:firstLine="420" w:firstLineChars="200"/>
    </w:pPr>
  </w:style>
  <w:style w:type="character" w:customStyle="1" w:styleId="31">
    <w:name w:val="纯文本 Char"/>
    <w:basedOn w:val="25"/>
    <w:link w:val="13"/>
    <w:qFormat/>
    <w:locked/>
    <w:uiPriority w:val="99"/>
    <w:rPr>
      <w:rFonts w:ascii="宋体" w:hAnsi="Courier New" w:eastAsia="宋体" w:cs="Times New Roman"/>
      <w:sz w:val="20"/>
      <w:szCs w:val="20"/>
    </w:rPr>
  </w:style>
  <w:style w:type="paragraph" w:customStyle="1" w:styleId="32">
    <w:name w:val="表格"/>
    <w:basedOn w:val="1"/>
    <w:qFormat/>
    <w:uiPriority w:val="99"/>
    <w:pPr>
      <w:spacing w:line="360" w:lineRule="auto"/>
    </w:pPr>
    <w:rPr>
      <w:rFonts w:ascii="仿宋_GB2312" w:hAnsi="宋体" w:eastAsia="仿宋_GB2312"/>
      <w:bCs/>
      <w:color w:val="333333"/>
      <w:kern w:val="0"/>
      <w:sz w:val="28"/>
    </w:rPr>
  </w:style>
  <w:style w:type="paragraph" w:customStyle="1" w:styleId="33">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4">
    <w:name w:val="页眉 Char"/>
    <w:basedOn w:val="25"/>
    <w:link w:val="17"/>
    <w:qFormat/>
    <w:locked/>
    <w:uiPriority w:val="99"/>
    <w:rPr>
      <w:rFonts w:ascii="Times New Roman" w:hAnsi="Times New Roman" w:eastAsia="宋体" w:cs="Times New Roman"/>
      <w:sz w:val="18"/>
      <w:szCs w:val="18"/>
    </w:rPr>
  </w:style>
  <w:style w:type="character" w:customStyle="1" w:styleId="35">
    <w:name w:val="页脚 Char"/>
    <w:basedOn w:val="25"/>
    <w:link w:val="16"/>
    <w:qFormat/>
    <w:locked/>
    <w:uiPriority w:val="99"/>
    <w:rPr>
      <w:rFonts w:ascii="Times New Roman" w:hAnsi="Times New Roman" w:eastAsia="宋体" w:cs="Times New Roman"/>
      <w:sz w:val="18"/>
      <w:szCs w:val="18"/>
    </w:rPr>
  </w:style>
  <w:style w:type="paragraph" w:customStyle="1" w:styleId="36">
    <w:name w:val="样式1"/>
    <w:basedOn w:val="16"/>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7">
    <w:name w:val="List Paragraph"/>
    <w:basedOn w:val="1"/>
    <w:qFormat/>
    <w:uiPriority w:val="34"/>
    <w:pPr>
      <w:ind w:firstLine="420" w:firstLineChars="200"/>
    </w:pPr>
    <w:rPr>
      <w:rFonts w:ascii="Calibri" w:hAnsi="Calibri"/>
      <w:szCs w:val="22"/>
    </w:rPr>
  </w:style>
  <w:style w:type="paragraph" w:customStyle="1" w:styleId="38">
    <w:name w:val="列出段落1"/>
    <w:basedOn w:val="1"/>
    <w:qFormat/>
    <w:uiPriority w:val="0"/>
    <w:pPr>
      <w:ind w:firstLine="420" w:firstLineChars="200"/>
    </w:pPr>
    <w:rPr>
      <w:rFonts w:ascii="Calibri" w:hAnsi="Calibri"/>
      <w:szCs w:val="22"/>
    </w:rPr>
  </w:style>
  <w:style w:type="paragraph" w:customStyle="1" w:styleId="39">
    <w:name w:val="Char Char Char"/>
    <w:basedOn w:val="1"/>
    <w:qFormat/>
    <w:uiPriority w:val="0"/>
    <w:pPr>
      <w:spacing w:line="360" w:lineRule="auto"/>
      <w:ind w:firstLine="560" w:firstLineChars="200"/>
    </w:pPr>
    <w:rPr>
      <w:rFonts w:eastAsia="宋体"/>
      <w:szCs w:val="20"/>
    </w:rPr>
  </w:style>
  <w:style w:type="character" w:customStyle="1" w:styleId="40">
    <w:name w:val="批注文字 Char"/>
    <w:qFormat/>
    <w:uiPriority w:val="99"/>
    <w:rPr>
      <w:kern w:val="2"/>
      <w:sz w:val="21"/>
    </w:rPr>
  </w:style>
  <w:style w:type="character" w:customStyle="1" w:styleId="41">
    <w:name w:val="批注文字 Char1"/>
    <w:basedOn w:val="25"/>
    <w:link w:val="9"/>
    <w:semiHidden/>
    <w:qFormat/>
    <w:uiPriority w:val="99"/>
    <w:rPr>
      <w:rFonts w:ascii="Times New Roman" w:hAnsi="Times New Roman"/>
      <w:kern w:val="2"/>
      <w:sz w:val="21"/>
      <w:szCs w:val="24"/>
    </w:rPr>
  </w:style>
  <w:style w:type="character" w:customStyle="1" w:styleId="42">
    <w:name w:val="标题 1 Char"/>
    <w:basedOn w:val="25"/>
    <w:link w:val="3"/>
    <w:qFormat/>
    <w:uiPriority w:val="0"/>
    <w:rPr>
      <w:rFonts w:ascii="宋体" w:hAnsi="宋体" w:eastAsia="宋体"/>
      <w:b/>
      <w:kern w:val="44"/>
      <w:sz w:val="48"/>
      <w:szCs w:val="48"/>
    </w:rPr>
  </w:style>
  <w:style w:type="paragraph" w:customStyle="1" w:styleId="43">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4">
    <w:name w:val="正文标题A"/>
    <w:basedOn w:val="1"/>
    <w:next w:val="1"/>
    <w:link w:val="45"/>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5">
    <w:name w:val="正文标题A Char"/>
    <w:basedOn w:val="25"/>
    <w:link w:val="44"/>
    <w:qFormat/>
    <w:locked/>
    <w:uiPriority w:val="99"/>
    <w:rPr>
      <w:rFonts w:ascii="Times New Roman" w:hAnsi="Times New Roman" w:eastAsia="宋体"/>
      <w:b/>
      <w:bCs/>
      <w:spacing w:val="20"/>
      <w:kern w:val="24"/>
      <w:sz w:val="21"/>
      <w:szCs w:val="21"/>
    </w:rPr>
  </w:style>
  <w:style w:type="character" w:customStyle="1" w:styleId="46">
    <w:name w:val="正文缩进 Char"/>
    <w:basedOn w:val="25"/>
    <w:link w:val="7"/>
    <w:qFormat/>
    <w:uiPriority w:val="0"/>
    <w:rPr>
      <w:rFonts w:ascii="Times New Roman" w:hAnsi="Times New Roman" w:eastAsia="宋体"/>
      <w:kern w:val="2"/>
      <w:sz w:val="24"/>
    </w:rPr>
  </w:style>
  <w:style w:type="character" w:customStyle="1" w:styleId="47">
    <w:name w:val="标题 2 Char"/>
    <w:basedOn w:val="25"/>
    <w:link w:val="4"/>
    <w:qFormat/>
    <w:uiPriority w:val="9"/>
    <w:rPr>
      <w:rFonts w:asciiTheme="majorHAnsi" w:hAnsiTheme="majorHAnsi" w:eastAsiaTheme="majorEastAsia" w:cstheme="majorBidi"/>
      <w:b/>
      <w:bCs/>
      <w:kern w:val="2"/>
      <w:sz w:val="32"/>
      <w:szCs w:val="32"/>
    </w:rPr>
  </w:style>
  <w:style w:type="character" w:customStyle="1" w:styleId="48">
    <w:name w:val="标题 3 Char"/>
    <w:basedOn w:val="25"/>
    <w:link w:val="5"/>
    <w:qFormat/>
    <w:uiPriority w:val="0"/>
    <w:rPr>
      <w:rFonts w:ascii="Times New Roman" w:hAnsi="Times New Roman" w:eastAsia="宋体"/>
      <w:b/>
      <w:bCs/>
      <w:kern w:val="2"/>
      <w:sz w:val="32"/>
      <w:szCs w:val="32"/>
    </w:rPr>
  </w:style>
  <w:style w:type="character" w:customStyle="1" w:styleId="49">
    <w:name w:val="批注框文本 Char"/>
    <w:basedOn w:val="25"/>
    <w:link w:val="15"/>
    <w:semiHidden/>
    <w:qFormat/>
    <w:uiPriority w:val="99"/>
    <w:rPr>
      <w:rFonts w:ascii="Times New Roman" w:hAnsi="Times New Roman"/>
      <w:kern w:val="2"/>
      <w:sz w:val="18"/>
      <w:szCs w:val="18"/>
    </w:rPr>
  </w:style>
  <w:style w:type="character" w:customStyle="1" w:styleId="50">
    <w:name w:val="标题 4 Char"/>
    <w:basedOn w:val="25"/>
    <w:link w:val="6"/>
    <w:qFormat/>
    <w:uiPriority w:val="0"/>
    <w:rPr>
      <w:rFonts w:ascii="Arial" w:hAnsi="Arial" w:eastAsia="黑体"/>
      <w:b/>
      <w:bCs/>
      <w:kern w:val="2"/>
      <w:sz w:val="28"/>
      <w:szCs w:val="28"/>
    </w:rPr>
  </w:style>
  <w:style w:type="character" w:customStyle="1" w:styleId="51">
    <w:name w:val="font11"/>
    <w:basedOn w:val="25"/>
    <w:qFormat/>
    <w:uiPriority w:val="0"/>
    <w:rPr>
      <w:rFonts w:hint="eastAsia" w:ascii="宋体" w:hAnsi="宋体" w:eastAsia="宋体" w:cs="宋体"/>
      <w:color w:val="000000"/>
      <w:sz w:val="21"/>
      <w:szCs w:val="21"/>
      <w:u w:val="none"/>
    </w:rPr>
  </w:style>
  <w:style w:type="character" w:customStyle="1" w:styleId="52">
    <w:name w:val="样式1 Char Char Char"/>
    <w:link w:val="53"/>
    <w:qFormat/>
    <w:uiPriority w:val="0"/>
    <w:rPr>
      <w:rFonts w:eastAsia="宋体"/>
      <w:kern w:val="2"/>
      <w:sz w:val="24"/>
    </w:rPr>
  </w:style>
  <w:style w:type="paragraph" w:customStyle="1" w:styleId="53">
    <w:name w:val="样式1 Char Char"/>
    <w:basedOn w:val="1"/>
    <w:next w:val="13"/>
    <w:link w:val="52"/>
    <w:qFormat/>
    <w:uiPriority w:val="0"/>
    <w:pPr>
      <w:spacing w:line="360" w:lineRule="auto"/>
      <w:ind w:firstLine="516" w:firstLineChars="215"/>
    </w:pPr>
    <w:rPr>
      <w:rFonts w:ascii="Calibri" w:hAnsi="Calibri" w:eastAsia="宋体"/>
      <w:sz w:val="24"/>
      <w:szCs w:val="20"/>
    </w:rPr>
  </w:style>
  <w:style w:type="character" w:customStyle="1" w:styleId="54">
    <w:name w:val="font21"/>
    <w:basedOn w:val="25"/>
    <w:qFormat/>
    <w:uiPriority w:val="0"/>
    <w:rPr>
      <w:rFonts w:hint="eastAsia" w:ascii="宋体" w:hAnsi="宋体" w:eastAsia="宋体" w:cs="宋体"/>
      <w:color w:val="000000"/>
      <w:sz w:val="21"/>
      <w:szCs w:val="21"/>
      <w:u w:val="none"/>
    </w:rPr>
  </w:style>
  <w:style w:type="character" w:customStyle="1" w:styleId="55">
    <w:name w:val="文档结构图 Char"/>
    <w:basedOn w:val="25"/>
    <w:link w:val="8"/>
    <w:semiHidden/>
    <w:qFormat/>
    <w:uiPriority w:val="0"/>
    <w:rPr>
      <w:rFonts w:ascii="Times New Roman" w:hAnsi="Times New Roman" w:eastAsia="宋体"/>
      <w:kern w:val="2"/>
      <w:sz w:val="21"/>
      <w:szCs w:val="24"/>
      <w:shd w:val="clear" w:color="auto" w:fill="000080"/>
    </w:rPr>
  </w:style>
  <w:style w:type="character" w:customStyle="1" w:styleId="56">
    <w:name w:val="标题 Char"/>
    <w:basedOn w:val="25"/>
    <w:link w:val="21"/>
    <w:qFormat/>
    <w:uiPriority w:val="0"/>
    <w:rPr>
      <w:rFonts w:ascii="Arial" w:hAnsi="Arial" w:eastAsia="隶书" w:cs="Arial"/>
      <w:b/>
      <w:bCs/>
      <w:kern w:val="2"/>
      <w:sz w:val="32"/>
      <w:szCs w:val="32"/>
    </w:rPr>
  </w:style>
  <w:style w:type="paragraph" w:customStyle="1" w:styleId="5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列出段落2"/>
    <w:basedOn w:val="1"/>
    <w:qFormat/>
    <w:uiPriority w:val="0"/>
    <w:pPr>
      <w:ind w:firstLine="420" w:firstLineChars="200"/>
    </w:pPr>
    <w:rPr>
      <w:rFonts w:ascii="Calibri" w:hAnsi="Calibri" w:eastAsia="宋体"/>
      <w:szCs w:val="22"/>
    </w:rPr>
  </w:style>
  <w:style w:type="character" w:customStyle="1" w:styleId="59">
    <w:name w:val="正文文本 Char"/>
    <w:basedOn w:val="25"/>
    <w:link w:val="10"/>
    <w:qFormat/>
    <w:uiPriority w:val="0"/>
    <w:rPr>
      <w:kern w:val="2"/>
      <w:sz w:val="21"/>
      <w:szCs w:val="24"/>
    </w:rPr>
  </w:style>
  <w:style w:type="paragraph" w:customStyle="1" w:styleId="60">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2">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3">
    <w:name w:val="TOC Heading"/>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5">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6">
    <w:name w:val="font0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28327</Words>
  <Characters>29827</Characters>
  <Lines>28</Lines>
  <Paragraphs>39</Paragraphs>
  <TotalTime>223</TotalTime>
  <ScaleCrop>false</ScaleCrop>
  <LinksUpToDate>false</LinksUpToDate>
  <CharactersWithSpaces>31418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熊颖</cp:lastModifiedBy>
  <cp:lastPrinted>2023-03-13T08:26:46Z</cp:lastPrinted>
  <dcterms:modified xsi:type="dcterms:W3CDTF">2023-03-13T08:29:04Z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